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rPr>
      </w:pPr>
      <w:r w:rsidDel="00000000" w:rsidR="00000000" w:rsidRPr="00000000">
        <w:rPr>
          <w:rFonts w:ascii="Arial" w:cs="Arial" w:eastAsia="Arial" w:hAnsi="Arial"/>
          <w:b w:val="1"/>
          <w:rtl w:val="0"/>
        </w:rPr>
        <w:t xml:space="preserve">Interaction Between Alfvén Eigenmodes and Energetic Particle Driven Geodesic Acoustic Modes in Negative Triangularity Shaped Tokamak Plasmas</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sz w:val="20"/>
          <w:szCs w:val="20"/>
        </w:rPr>
      </w:pPr>
      <w:r w:rsidDel="00000000" w:rsidR="00000000" w:rsidRPr="00000000">
        <w:rPr>
          <w:rFonts w:ascii="Arial" w:cs="Arial" w:eastAsia="Arial" w:hAnsi="Arial"/>
          <w:sz w:val="20"/>
          <w:szCs w:val="20"/>
          <w:rtl w:val="0"/>
        </w:rPr>
        <w:t xml:space="preserve">D. Kabirov-Leontieva</w:t>
      </w:r>
      <w:r w:rsidDel="00000000" w:rsidR="00000000" w:rsidRPr="00000000">
        <w:rPr>
          <w:rFonts w:ascii="Arial" w:cs="Arial" w:eastAsia="Arial" w:hAnsi="Arial"/>
          <w:sz w:val="20"/>
          <w:szCs w:val="20"/>
          <w:vertAlign w:val="superscript"/>
          <w:rtl w:val="0"/>
        </w:rPr>
        <w:t xml:space="preserve">1</w:t>
      </w:r>
      <w:r w:rsidDel="00000000" w:rsidR="00000000" w:rsidRPr="00000000">
        <w:rPr>
          <w:rFonts w:ascii="Arial" w:cs="Arial" w:eastAsia="Arial" w:hAnsi="Arial"/>
          <w:sz w:val="20"/>
          <w:szCs w:val="20"/>
          <w:rtl w:val="0"/>
        </w:rPr>
        <w:t xml:space="preserve">, P. Oyola</w:t>
      </w:r>
      <w:r w:rsidDel="00000000" w:rsidR="00000000" w:rsidRPr="00000000">
        <w:rPr>
          <w:rFonts w:ascii="Arial" w:cs="Arial" w:eastAsia="Arial" w:hAnsi="Arial"/>
          <w:sz w:val="20"/>
          <w:szCs w:val="20"/>
          <w:vertAlign w:val="superscript"/>
          <w:rtl w:val="0"/>
        </w:rPr>
        <w:t xml:space="preserve">2</w:t>
      </w:r>
      <w:r w:rsidDel="00000000" w:rsidR="00000000" w:rsidRPr="00000000">
        <w:rPr>
          <w:rFonts w:ascii="Arial" w:cs="Arial" w:eastAsia="Arial" w:hAnsi="Arial"/>
          <w:sz w:val="20"/>
          <w:szCs w:val="20"/>
          <w:rtl w:val="0"/>
        </w:rPr>
        <w:t xml:space="preserve">, M. Garcia-Munoz</w:t>
      </w:r>
      <w:r w:rsidDel="00000000" w:rsidR="00000000" w:rsidRPr="00000000">
        <w:rPr>
          <w:rFonts w:ascii="Arial" w:cs="Arial" w:eastAsia="Arial" w:hAnsi="Arial"/>
          <w:sz w:val="20"/>
          <w:szCs w:val="20"/>
          <w:vertAlign w:val="superscript"/>
          <w:rtl w:val="0"/>
        </w:rPr>
        <w:t xml:space="preserve">1</w:t>
      </w:r>
      <w:r w:rsidDel="00000000" w:rsidR="00000000" w:rsidRPr="00000000">
        <w:rPr>
          <w:rFonts w:ascii="Arial" w:cs="Arial" w:eastAsia="Arial" w:hAnsi="Arial"/>
          <w:sz w:val="20"/>
          <w:szCs w:val="20"/>
          <w:rtl w:val="0"/>
        </w:rPr>
        <w:t xml:space="preserve">, J. Gonzalez-Martin</w:t>
      </w:r>
      <w:r w:rsidDel="00000000" w:rsidR="00000000" w:rsidRPr="00000000">
        <w:rPr>
          <w:rFonts w:ascii="Arial" w:cs="Arial" w:eastAsia="Arial" w:hAnsi="Arial"/>
          <w:sz w:val="20"/>
          <w:szCs w:val="20"/>
          <w:vertAlign w:val="superscript"/>
          <w:rtl w:val="0"/>
        </w:rPr>
        <w:t xml:space="preserve">3</w:t>
      </w:r>
      <w:r w:rsidDel="00000000" w:rsidR="00000000" w:rsidRPr="00000000">
        <w:rPr>
          <w:rFonts w:ascii="Arial" w:cs="Arial" w:eastAsia="Arial" w:hAnsi="Arial"/>
          <w:sz w:val="20"/>
          <w:szCs w:val="20"/>
          <w:rtl w:val="0"/>
        </w:rPr>
        <w:t xml:space="preserve">, M. Jimenez-Comez</w:t>
      </w:r>
      <w:r w:rsidDel="00000000" w:rsidR="00000000" w:rsidRPr="00000000">
        <w:rPr>
          <w:rFonts w:ascii="Arial" w:cs="Arial" w:eastAsia="Arial" w:hAnsi="Arial"/>
          <w:sz w:val="20"/>
          <w:szCs w:val="20"/>
          <w:vertAlign w:val="superscript"/>
          <w:rtl w:val="0"/>
        </w:rPr>
        <w:t xml:space="preserve">1</w:t>
      </w:r>
      <w:r w:rsidDel="00000000" w:rsidR="00000000" w:rsidRPr="00000000">
        <w:rPr>
          <w:rFonts w:ascii="Arial" w:cs="Arial" w:eastAsia="Arial" w:hAnsi="Arial"/>
          <w:sz w:val="20"/>
          <w:szCs w:val="20"/>
          <w:rtl w:val="0"/>
        </w:rPr>
        <w:t xml:space="preserve">, M. Podesta</w:t>
      </w:r>
      <w:r w:rsidDel="00000000" w:rsidR="00000000" w:rsidRPr="00000000">
        <w:rPr>
          <w:rFonts w:ascii="Arial" w:cs="Arial" w:eastAsia="Arial" w:hAnsi="Arial"/>
          <w:sz w:val="20"/>
          <w:szCs w:val="20"/>
          <w:vertAlign w:val="superscript"/>
          <w:rtl w:val="0"/>
        </w:rPr>
        <w:t xml:space="preserve">4</w:t>
      </w:r>
      <w:r w:rsidDel="00000000" w:rsidR="00000000" w:rsidRPr="00000000">
        <w:rPr>
          <w:rFonts w:ascii="Arial" w:cs="Arial" w:eastAsia="Arial" w:hAnsi="Arial"/>
          <w:sz w:val="20"/>
          <w:szCs w:val="20"/>
          <w:rtl w:val="0"/>
        </w:rPr>
        <w:t xml:space="preserve">, J. Poley</w:t>
      </w:r>
      <w:r w:rsidDel="00000000" w:rsidR="00000000" w:rsidRPr="00000000">
        <w:rPr>
          <w:rFonts w:ascii="Arial" w:cs="Arial" w:eastAsia="Arial" w:hAnsi="Arial"/>
          <w:sz w:val="20"/>
          <w:szCs w:val="20"/>
          <w:vertAlign w:val="superscript"/>
          <w:rtl w:val="0"/>
        </w:rPr>
        <w:t xml:space="preserve">4</w:t>
      </w:r>
      <w:r w:rsidDel="00000000" w:rsidR="00000000" w:rsidRPr="00000000">
        <w:rPr>
          <w:rFonts w:ascii="Arial" w:cs="Arial" w:eastAsia="Arial" w:hAnsi="Arial"/>
          <w:sz w:val="20"/>
          <w:szCs w:val="20"/>
          <w:rtl w:val="0"/>
        </w:rPr>
        <w:t xml:space="preserve">, Y. Todo</w:t>
      </w:r>
      <w:r w:rsidDel="00000000" w:rsidR="00000000" w:rsidRPr="00000000">
        <w:rPr>
          <w:rFonts w:ascii="Arial" w:cs="Arial" w:eastAsia="Arial" w:hAnsi="Arial"/>
          <w:sz w:val="20"/>
          <w:szCs w:val="20"/>
          <w:vertAlign w:val="superscript"/>
          <w:rtl w:val="0"/>
        </w:rPr>
        <w:t xml:space="preserve">5</w:t>
      </w:r>
      <w:r w:rsidDel="00000000" w:rsidR="00000000" w:rsidRPr="00000000">
        <w:rPr>
          <w:rFonts w:ascii="Arial" w:cs="Arial" w:eastAsia="Arial" w:hAnsi="Arial"/>
          <w:sz w:val="20"/>
          <w:szCs w:val="20"/>
          <w:rtl w:val="0"/>
        </w:rPr>
        <w:t xml:space="preserve">, A. J. Van Vuuren</w:t>
      </w:r>
      <w:r w:rsidDel="00000000" w:rsidR="00000000" w:rsidRPr="00000000">
        <w:rPr>
          <w:rFonts w:ascii="Arial" w:cs="Arial" w:eastAsia="Arial" w:hAnsi="Arial"/>
          <w:sz w:val="20"/>
          <w:szCs w:val="20"/>
          <w:vertAlign w:val="superscript"/>
          <w:rtl w:val="0"/>
        </w:rPr>
        <w:t xml:space="preserve">4</w:t>
      </w:r>
      <w:r w:rsidDel="00000000" w:rsidR="00000000" w:rsidRPr="00000000">
        <w:rPr>
          <w:rFonts w:ascii="Arial" w:cs="Arial" w:eastAsia="Arial" w:hAnsi="Arial"/>
          <w:sz w:val="20"/>
          <w:szCs w:val="20"/>
          <w:rtl w:val="0"/>
        </w:rPr>
        <w:t xml:space="preserve">, E. Viezzer</w:t>
      </w:r>
      <w:r w:rsidDel="00000000" w:rsidR="00000000" w:rsidRPr="00000000">
        <w:rPr>
          <w:rFonts w:ascii="Arial" w:cs="Arial" w:eastAsia="Arial" w:hAnsi="Arial"/>
          <w:sz w:val="20"/>
          <w:szCs w:val="20"/>
          <w:vertAlign w:val="superscript"/>
          <w:rtl w:val="0"/>
        </w:rPr>
        <w:t xml:space="preserve">1</w:t>
      </w:r>
      <w:r w:rsidDel="00000000" w:rsidR="00000000" w:rsidRPr="00000000">
        <w:rPr>
          <w:rFonts w:ascii="Arial" w:cs="Arial" w:eastAsia="Arial" w:hAnsi="Arial"/>
          <w:sz w:val="20"/>
          <w:szCs w:val="20"/>
          <w:rtl w:val="0"/>
        </w:rPr>
        <w:t xml:space="preserve">, and TCV Team and EUROFusion Tokamak Exploitation Team</w:t>
      </w:r>
    </w:p>
    <w:p w:rsidR="00000000" w:rsidDel="00000000" w:rsidP="00000000" w:rsidRDefault="00000000" w:rsidRPr="00000000" w14:paraId="00000004">
      <w:pPr>
        <w:jc w:val="both"/>
        <w:rPr>
          <w:rFonts w:ascii="Arial" w:cs="Arial" w:eastAsia="Arial" w:hAnsi="Arial"/>
          <w:sz w:val="18"/>
          <w:szCs w:val="18"/>
        </w:rPr>
      </w:pPr>
      <w:r w:rsidDel="00000000" w:rsidR="00000000" w:rsidRPr="00000000">
        <w:rPr>
          <w:rFonts w:ascii="Arial" w:cs="Arial" w:eastAsia="Arial" w:hAnsi="Arial"/>
          <w:sz w:val="18"/>
          <w:szCs w:val="18"/>
          <w:vertAlign w:val="superscript"/>
          <w:rtl w:val="0"/>
        </w:rPr>
        <w:t xml:space="preserve">1</w:t>
      </w:r>
      <w:r w:rsidDel="00000000" w:rsidR="00000000" w:rsidRPr="00000000">
        <w:rPr>
          <w:rFonts w:ascii="Arial" w:cs="Arial" w:eastAsia="Arial" w:hAnsi="Arial"/>
          <w:sz w:val="18"/>
          <w:szCs w:val="18"/>
          <w:rtl w:val="0"/>
        </w:rPr>
        <w:t xml:space="preserve">Department of Atomic, Molecular and Nuclear Physics, Universidad de Sevilla, Seville, Spain</w:t>
      </w:r>
    </w:p>
    <w:p w:rsidR="00000000" w:rsidDel="00000000" w:rsidP="00000000" w:rsidRDefault="00000000" w:rsidRPr="00000000" w14:paraId="00000005">
      <w:pPr>
        <w:jc w:val="both"/>
        <w:rPr>
          <w:rFonts w:ascii="Arial" w:cs="Arial" w:eastAsia="Arial" w:hAnsi="Arial"/>
          <w:sz w:val="18"/>
          <w:szCs w:val="18"/>
        </w:rPr>
      </w:pPr>
      <w:r w:rsidDel="00000000" w:rsidR="00000000" w:rsidRPr="00000000">
        <w:rPr>
          <w:rFonts w:ascii="Arial" w:cs="Arial" w:eastAsia="Arial" w:hAnsi="Arial"/>
          <w:sz w:val="18"/>
          <w:szCs w:val="18"/>
          <w:vertAlign w:val="superscript"/>
          <w:rtl w:val="0"/>
        </w:rPr>
        <w:t xml:space="preserve">2</w:t>
      </w:r>
      <w:r w:rsidDel="00000000" w:rsidR="00000000" w:rsidRPr="00000000">
        <w:rPr>
          <w:rFonts w:ascii="Arial" w:cs="Arial" w:eastAsia="Arial" w:hAnsi="Arial"/>
          <w:sz w:val="18"/>
          <w:szCs w:val="18"/>
          <w:rtl w:val="0"/>
        </w:rPr>
        <w:t xml:space="preserve">Princeton Plasma Physics Laboratory, New Jersey, USA</w:t>
      </w:r>
    </w:p>
    <w:p w:rsidR="00000000" w:rsidDel="00000000" w:rsidP="00000000" w:rsidRDefault="00000000" w:rsidRPr="00000000" w14:paraId="00000006">
      <w:pPr>
        <w:jc w:val="both"/>
        <w:rPr>
          <w:rFonts w:ascii="Arial" w:cs="Arial" w:eastAsia="Arial" w:hAnsi="Arial"/>
          <w:sz w:val="18"/>
          <w:szCs w:val="18"/>
        </w:rPr>
      </w:pPr>
      <w:r w:rsidDel="00000000" w:rsidR="00000000" w:rsidRPr="00000000">
        <w:rPr>
          <w:rFonts w:ascii="Arial" w:cs="Arial" w:eastAsia="Arial" w:hAnsi="Arial"/>
          <w:sz w:val="18"/>
          <w:szCs w:val="18"/>
          <w:vertAlign w:val="superscript"/>
          <w:rtl w:val="0"/>
        </w:rPr>
        <w:t xml:space="preserve">3</w:t>
      </w:r>
      <w:r w:rsidDel="00000000" w:rsidR="00000000" w:rsidRPr="00000000">
        <w:rPr>
          <w:rFonts w:ascii="Arial" w:cs="Arial" w:eastAsia="Arial" w:hAnsi="Arial"/>
          <w:sz w:val="18"/>
          <w:szCs w:val="18"/>
          <w:rtl w:val="0"/>
        </w:rPr>
        <w:t xml:space="preserve">Department of Mechanical Engineering and Manufacturing, Universidad de Sevilla, Seville, Spain</w:t>
      </w:r>
    </w:p>
    <w:p w:rsidR="00000000" w:rsidDel="00000000" w:rsidP="00000000" w:rsidRDefault="00000000" w:rsidRPr="00000000" w14:paraId="00000007">
      <w:pPr>
        <w:jc w:val="both"/>
        <w:rPr>
          <w:rFonts w:ascii="Arial" w:cs="Arial" w:eastAsia="Arial" w:hAnsi="Arial"/>
          <w:sz w:val="18"/>
          <w:szCs w:val="18"/>
        </w:rPr>
      </w:pPr>
      <w:r w:rsidDel="00000000" w:rsidR="00000000" w:rsidRPr="00000000">
        <w:rPr>
          <w:rFonts w:ascii="Arial" w:cs="Arial" w:eastAsia="Arial" w:hAnsi="Arial"/>
          <w:sz w:val="18"/>
          <w:szCs w:val="18"/>
          <w:vertAlign w:val="superscript"/>
          <w:rtl w:val="0"/>
        </w:rPr>
        <w:t xml:space="preserve">4</w:t>
      </w:r>
      <w:r w:rsidDel="00000000" w:rsidR="00000000" w:rsidRPr="00000000">
        <w:rPr>
          <w:rFonts w:ascii="Arial" w:cs="Arial" w:eastAsia="Arial" w:hAnsi="Arial"/>
          <w:sz w:val="18"/>
          <w:szCs w:val="18"/>
          <w:rtl w:val="0"/>
        </w:rPr>
        <w:t xml:space="preserve">Ecole Polytechnique Federale de Lausanne (EPFL), Swiss Plasma Center (SPC), Lausanne, Switzerland</w:t>
      </w:r>
    </w:p>
    <w:p w:rsidR="00000000" w:rsidDel="00000000" w:rsidP="00000000" w:rsidRDefault="00000000" w:rsidRPr="00000000" w14:paraId="00000008">
      <w:pPr>
        <w:jc w:val="both"/>
        <w:rPr>
          <w:rFonts w:ascii="Arial" w:cs="Arial" w:eastAsia="Arial" w:hAnsi="Arial"/>
          <w:sz w:val="18"/>
          <w:szCs w:val="18"/>
        </w:rPr>
      </w:pPr>
      <w:r w:rsidDel="00000000" w:rsidR="00000000" w:rsidRPr="00000000">
        <w:rPr>
          <w:rFonts w:ascii="Arial" w:cs="Arial" w:eastAsia="Arial" w:hAnsi="Arial"/>
          <w:sz w:val="18"/>
          <w:szCs w:val="18"/>
          <w:vertAlign w:val="superscript"/>
          <w:rtl w:val="0"/>
        </w:rPr>
        <w:t xml:space="preserve">5</w:t>
      </w:r>
      <w:r w:rsidDel="00000000" w:rsidR="00000000" w:rsidRPr="00000000">
        <w:rPr>
          <w:rFonts w:ascii="Arial" w:cs="Arial" w:eastAsia="Arial" w:hAnsi="Arial"/>
          <w:sz w:val="18"/>
          <w:szCs w:val="18"/>
          <w:rtl w:val="0"/>
        </w:rPr>
        <w:t xml:space="preserve">National Institute for Fusion Science, Toki, Japan</w:t>
      </w:r>
    </w:p>
    <w:p w:rsidR="00000000" w:rsidDel="00000000" w:rsidP="00000000" w:rsidRDefault="00000000" w:rsidRPr="00000000" w14:paraId="00000009">
      <w:pPr>
        <w:jc w:val="both"/>
        <w:rPr>
          <w:rFonts w:ascii="Arial" w:cs="Arial" w:eastAsia="Arial" w:hAnsi="Arial"/>
        </w:rPr>
      </w:pPr>
      <w:r w:rsidDel="00000000" w:rsidR="00000000" w:rsidRPr="00000000">
        <w:rPr>
          <w:rtl w:val="0"/>
        </w:rPr>
      </w:r>
    </w:p>
    <w:p w:rsidR="00000000" w:rsidDel="00000000" w:rsidP="00000000" w:rsidRDefault="00000000" w:rsidRPr="00000000" w14:paraId="0000000A">
      <w:pPr>
        <w:jc w:val="both"/>
        <w:rPr>
          <w:rFonts w:ascii="Arial" w:cs="Arial" w:eastAsia="Arial" w:hAnsi="Arial"/>
        </w:rPr>
      </w:pPr>
      <w:r w:rsidDel="00000000" w:rsidR="00000000" w:rsidRPr="00000000">
        <w:rPr>
          <w:rFonts w:ascii="Arial" w:cs="Arial" w:eastAsia="Arial" w:hAnsi="Arial"/>
          <w:rtl w:val="0"/>
        </w:rPr>
        <w:t xml:space="preserve">Negative triangularity (NT) shaped plasmas emerge as an attractive scenario with high fusion performance and power handling capabilities. Recent experiments at the TCV and DIII-D tokamaks have demonstrated fusion-relevant ELM-free H-mode like confinement levels. While NT shaped plasmas have shown little to no effect on fast-ions in DIII-D [1], a mitigation of fast-ion driven Toroidally induced Alfvén Eigenmodes (TAEs) have been observed at TCV [2]. Consistently with TCV observations, non-linear hybrid-kinetic MHD simulations reveal a lower wave-particle energy exchange between the energetic particles and the experimentally observed TAEs in NT when compared with its counterpart in Positive Triangularity (PT). Changes in the magnetic topology are found to modify the fast-ion orbits and, thus, the underlying wave-particle resonances.   </w:t>
      </w:r>
    </w:p>
    <w:p w:rsidR="00000000" w:rsidDel="00000000" w:rsidP="00000000" w:rsidRDefault="00000000" w:rsidRPr="00000000" w14:paraId="0000000B">
      <w:pPr>
        <w:jc w:val="both"/>
        <w:rPr>
          <w:rFonts w:ascii="Arial" w:cs="Arial" w:eastAsia="Arial" w:hAnsi="Arial"/>
        </w:rPr>
      </w:pPr>
      <w:r w:rsidDel="00000000" w:rsidR="00000000" w:rsidRPr="00000000">
        <w:rPr>
          <w:rFonts w:ascii="Arial" w:cs="Arial" w:eastAsia="Arial" w:hAnsi="Arial"/>
          <w:rtl w:val="0"/>
        </w:rPr>
        <w:t xml:space="preserve">Strongly anisotropic fast-ion distribution functions tend to drive Geodesic Acoustic Modes (EGAMs) unstable in current tokamaks as observed for instance in DIII-D [3], AUG [4] and TCV [5]. In this work, MEGA simulations are carried out to study the role that unstable EGAMs may play in the TAE stability / mitigation observed at the TCV tokamak in NT shaped plasmas. A preliminary study for spherical tokamaks with SMART plasmas as reference scenarios will be presented.</w:t>
      </w:r>
    </w:p>
    <w:p w:rsidR="00000000" w:rsidDel="00000000" w:rsidP="00000000" w:rsidRDefault="00000000" w:rsidRPr="00000000" w14:paraId="0000000C">
      <w:pPr>
        <w:jc w:val="both"/>
        <w:rPr>
          <w:rFonts w:ascii="Arial" w:cs="Arial" w:eastAsia="Arial" w:hAnsi="Arial"/>
        </w:rPr>
      </w:pPr>
      <w:r w:rsidDel="00000000" w:rsidR="00000000" w:rsidRPr="00000000">
        <w:rPr>
          <w:rtl w:val="0"/>
        </w:rPr>
      </w:r>
    </w:p>
    <w:p w:rsidR="00000000" w:rsidDel="00000000" w:rsidP="00000000" w:rsidRDefault="00000000" w:rsidRPr="00000000" w14:paraId="0000000D">
      <w:pPr>
        <w:jc w:val="both"/>
        <w:rPr>
          <w:rFonts w:ascii="Arial" w:cs="Arial" w:eastAsia="Arial" w:hAnsi="Arial"/>
        </w:rPr>
      </w:pPr>
      <w:r w:rsidDel="00000000" w:rsidR="00000000" w:rsidRPr="00000000">
        <w:rPr>
          <w:rFonts w:ascii="Arial" w:cs="Arial" w:eastAsia="Arial" w:hAnsi="Arial"/>
          <w:rtl w:val="0"/>
        </w:rPr>
        <w:t xml:space="preserve">[1] M. A. Van Zeeland </w:t>
      </w:r>
      <w:r w:rsidDel="00000000" w:rsidR="00000000" w:rsidRPr="00000000">
        <w:rPr>
          <w:rFonts w:ascii="Arial" w:cs="Arial" w:eastAsia="Arial" w:hAnsi="Arial"/>
          <w:i w:val="1"/>
          <w:rtl w:val="0"/>
        </w:rPr>
        <w:t xml:space="preserve">et al</w:t>
      </w:r>
      <w:r w:rsidDel="00000000" w:rsidR="00000000" w:rsidRPr="00000000">
        <w:rPr>
          <w:rFonts w:ascii="Arial" w:cs="Arial" w:eastAsia="Arial" w:hAnsi="Arial"/>
          <w:rtl w:val="0"/>
        </w:rPr>
        <w:t xml:space="preserve">., Nucl. Fusion </w:t>
      </w:r>
      <w:r w:rsidDel="00000000" w:rsidR="00000000" w:rsidRPr="00000000">
        <w:rPr>
          <w:rFonts w:ascii="Arial" w:cs="Arial" w:eastAsia="Arial" w:hAnsi="Arial"/>
          <w:b w:val="1"/>
          <w:rtl w:val="0"/>
        </w:rPr>
        <w:t xml:space="preserve">59</w:t>
      </w:r>
      <w:r w:rsidDel="00000000" w:rsidR="00000000" w:rsidRPr="00000000">
        <w:rPr>
          <w:rFonts w:ascii="Arial" w:cs="Arial" w:eastAsia="Arial" w:hAnsi="Arial"/>
          <w:rtl w:val="0"/>
        </w:rPr>
        <w:t xml:space="preserve">, 086028 (2019)</w:t>
      </w:r>
    </w:p>
    <w:p w:rsidR="00000000" w:rsidDel="00000000" w:rsidP="00000000" w:rsidRDefault="00000000" w:rsidRPr="00000000" w14:paraId="0000000E">
      <w:pPr>
        <w:jc w:val="both"/>
        <w:rPr>
          <w:rFonts w:ascii="Arial" w:cs="Arial" w:eastAsia="Arial" w:hAnsi="Arial"/>
        </w:rPr>
      </w:pPr>
      <w:r w:rsidDel="00000000" w:rsidR="00000000" w:rsidRPr="00000000">
        <w:rPr>
          <w:rFonts w:ascii="Arial" w:cs="Arial" w:eastAsia="Arial" w:hAnsi="Arial"/>
          <w:rtl w:val="0"/>
        </w:rPr>
        <w:t xml:space="preserve">[2] P. Oyola </w:t>
      </w:r>
      <w:r w:rsidDel="00000000" w:rsidR="00000000" w:rsidRPr="00000000">
        <w:rPr>
          <w:rFonts w:ascii="Arial" w:cs="Arial" w:eastAsia="Arial" w:hAnsi="Arial"/>
          <w:i w:val="1"/>
          <w:rtl w:val="0"/>
        </w:rPr>
        <w:t xml:space="preserve">et al.,</w:t>
      </w:r>
      <w:r w:rsidDel="00000000" w:rsidR="00000000" w:rsidRPr="00000000">
        <w:rPr>
          <w:rFonts w:ascii="Arial" w:cs="Arial" w:eastAsia="Arial" w:hAnsi="Arial"/>
          <w:rtl w:val="0"/>
        </w:rPr>
        <w:t xml:space="preserve"> in preparation</w:t>
      </w:r>
    </w:p>
    <w:p w:rsidR="00000000" w:rsidDel="00000000" w:rsidP="00000000" w:rsidRDefault="00000000" w:rsidRPr="00000000" w14:paraId="0000000F">
      <w:pPr>
        <w:jc w:val="both"/>
        <w:rPr>
          <w:rFonts w:ascii="Arial" w:cs="Arial" w:eastAsia="Arial" w:hAnsi="Arial"/>
        </w:rPr>
      </w:pPr>
      <w:r w:rsidDel="00000000" w:rsidR="00000000" w:rsidRPr="00000000">
        <w:rPr>
          <w:rFonts w:ascii="Arial" w:cs="Arial" w:eastAsia="Arial" w:hAnsi="Arial"/>
          <w:rtl w:val="0"/>
        </w:rPr>
        <w:t xml:space="preserve">[3] R. Nazikian </w:t>
      </w:r>
      <w:r w:rsidDel="00000000" w:rsidR="00000000" w:rsidRPr="00000000">
        <w:rPr>
          <w:rFonts w:ascii="Arial" w:cs="Arial" w:eastAsia="Arial" w:hAnsi="Arial"/>
          <w:i w:val="1"/>
          <w:rtl w:val="0"/>
        </w:rPr>
        <w:t xml:space="preserve">et al.</w:t>
      </w:r>
      <w:r w:rsidDel="00000000" w:rsidR="00000000" w:rsidRPr="00000000">
        <w:rPr>
          <w:rFonts w:ascii="Arial" w:cs="Arial" w:eastAsia="Arial" w:hAnsi="Arial"/>
          <w:rtl w:val="0"/>
        </w:rPr>
        <w:t xml:space="preserve">, Phys. Rev. Lett. </w:t>
      </w:r>
      <w:r w:rsidDel="00000000" w:rsidR="00000000" w:rsidRPr="00000000">
        <w:rPr>
          <w:rFonts w:ascii="Arial" w:cs="Arial" w:eastAsia="Arial" w:hAnsi="Arial"/>
          <w:b w:val="1"/>
          <w:rtl w:val="0"/>
        </w:rPr>
        <w:t xml:space="preserve">101</w:t>
      </w:r>
      <w:r w:rsidDel="00000000" w:rsidR="00000000" w:rsidRPr="00000000">
        <w:rPr>
          <w:rFonts w:ascii="Arial" w:cs="Arial" w:eastAsia="Arial" w:hAnsi="Arial"/>
          <w:rtl w:val="0"/>
        </w:rPr>
        <w:t xml:space="preserve">, 185001 (2008) </w:t>
      </w:r>
    </w:p>
    <w:p w:rsidR="00000000" w:rsidDel="00000000" w:rsidP="00000000" w:rsidRDefault="00000000" w:rsidRPr="00000000" w14:paraId="00000010">
      <w:pPr>
        <w:jc w:val="both"/>
        <w:rPr>
          <w:rFonts w:ascii="Arial" w:cs="Arial" w:eastAsia="Arial" w:hAnsi="Arial"/>
        </w:rPr>
      </w:pPr>
      <w:r w:rsidDel="00000000" w:rsidR="00000000" w:rsidRPr="00000000">
        <w:rPr>
          <w:rFonts w:ascii="Arial" w:cs="Arial" w:eastAsia="Arial" w:hAnsi="Arial"/>
          <w:rtl w:val="0"/>
        </w:rPr>
        <w:t xml:space="preserve">[4] B. Rettino et al., Nucl. Fusion </w:t>
      </w:r>
      <w:r w:rsidDel="00000000" w:rsidR="00000000" w:rsidRPr="00000000">
        <w:rPr>
          <w:rFonts w:ascii="Arial" w:cs="Arial" w:eastAsia="Arial" w:hAnsi="Arial"/>
          <w:b w:val="1"/>
          <w:rtl w:val="0"/>
        </w:rPr>
        <w:t xml:space="preserve">62</w:t>
      </w:r>
      <w:r w:rsidDel="00000000" w:rsidR="00000000" w:rsidRPr="00000000">
        <w:rPr>
          <w:rFonts w:ascii="Arial" w:cs="Arial" w:eastAsia="Arial" w:hAnsi="Arial"/>
          <w:rtl w:val="0"/>
        </w:rPr>
        <w:t xml:space="preserve">, 076027 (2022)</w:t>
      </w:r>
    </w:p>
    <w:p w:rsidR="00000000" w:rsidDel="00000000" w:rsidP="00000000" w:rsidRDefault="00000000" w:rsidRPr="00000000" w14:paraId="00000011">
      <w:pPr>
        <w:jc w:val="both"/>
        <w:rPr>
          <w:rFonts w:ascii="Arial" w:cs="Arial" w:eastAsia="Arial" w:hAnsi="Arial"/>
        </w:rPr>
      </w:pPr>
      <w:r w:rsidDel="00000000" w:rsidR="00000000" w:rsidRPr="00000000">
        <w:rPr>
          <w:rFonts w:ascii="Arial" w:cs="Arial" w:eastAsia="Arial" w:hAnsi="Arial"/>
          <w:rtl w:val="0"/>
        </w:rPr>
        <w:t xml:space="preserve">[5] A. J. Van Vuuren </w:t>
      </w:r>
      <w:r w:rsidDel="00000000" w:rsidR="00000000" w:rsidRPr="00000000">
        <w:rPr>
          <w:rFonts w:ascii="Arial" w:cs="Arial" w:eastAsia="Arial" w:hAnsi="Arial"/>
          <w:i w:val="1"/>
          <w:rtl w:val="0"/>
        </w:rPr>
        <w:t xml:space="preserve">et al</w:t>
      </w:r>
      <w:r w:rsidDel="00000000" w:rsidR="00000000" w:rsidRPr="00000000">
        <w:rPr>
          <w:rFonts w:ascii="Arial" w:cs="Arial" w:eastAsia="Arial" w:hAnsi="Arial"/>
          <w:rtl w:val="0"/>
        </w:rPr>
        <w:t xml:space="preserve">., 66th APS Division of Plasma Physics Meeting, Atlanta (2024)</w:t>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color w:val="2f5496"/>
      <w:sz w:val="40"/>
      <w:szCs w:val="40"/>
    </w:rPr>
  </w:style>
  <w:style w:type="paragraph" w:styleId="Heading2">
    <w:name w:val="heading 2"/>
    <w:basedOn w:val="Normal"/>
    <w:next w:val="Normal"/>
    <w:pPr>
      <w:keepNext w:val="1"/>
      <w:keepLines w:val="1"/>
      <w:spacing w:after="80" w:before="160" w:lineRule="auto"/>
    </w:pPr>
    <w:rPr>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