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E2838" w14:textId="77777777" w:rsidR="0013685D" w:rsidRPr="007F7CFD" w:rsidRDefault="0013685D" w:rsidP="0013685D">
      <w:pPr>
        <w:pStyle w:val="NormalWeb"/>
        <w:jc w:val="center"/>
        <w:rPr>
          <w:b/>
          <w:bCs/>
          <w:sz w:val="28"/>
          <w:szCs w:val="28"/>
        </w:rPr>
      </w:pPr>
      <w:r w:rsidRPr="007F7CFD">
        <w:rPr>
          <w:b/>
          <w:bCs/>
          <w:sz w:val="28"/>
          <w:szCs w:val="28"/>
        </w:rPr>
        <w:t>Electromagnetic simulations of Toroidal Alfvén Eigenmode (TAE) using GYSELA</w:t>
      </w:r>
    </w:p>
    <w:p w14:paraId="2059C583" w14:textId="476E4C8B" w:rsidR="0013685D" w:rsidRDefault="0013685D" w:rsidP="0013685D">
      <w:pPr>
        <w:pStyle w:val="NormalWeb"/>
        <w:jc w:val="center"/>
        <w:rPr>
          <w:vertAlign w:val="superscript"/>
        </w:rPr>
      </w:pPr>
      <w:r>
        <w:t>S. Raj</w:t>
      </w:r>
      <w:r w:rsidRPr="00B01823">
        <w:rPr>
          <w:vertAlign w:val="superscript"/>
        </w:rPr>
        <w:t>1</w:t>
      </w:r>
      <w:r>
        <w:t>, Y. W. Cho</w:t>
      </w:r>
      <w:r w:rsidRPr="001C0AE9">
        <w:rPr>
          <w:vertAlign w:val="superscript"/>
        </w:rPr>
        <w:t>1</w:t>
      </w:r>
      <w:r>
        <w:t>, Z. S. Qu</w:t>
      </w:r>
      <w:r w:rsidRPr="001C0AE9">
        <w:rPr>
          <w:vertAlign w:val="superscript"/>
        </w:rPr>
        <w:t>1</w:t>
      </w:r>
      <w:r>
        <w:t>, L. Bramucci</w:t>
      </w:r>
      <w:r w:rsidRPr="00B01823">
        <w:rPr>
          <w:vertAlign w:val="superscript"/>
        </w:rPr>
        <w:t>2</w:t>
      </w:r>
      <w:r>
        <w:t>, P. Donnel</w:t>
      </w:r>
      <w:r w:rsidRPr="00B01823">
        <w:rPr>
          <w:vertAlign w:val="superscript"/>
        </w:rPr>
        <w:t>3</w:t>
      </w:r>
      <w:r>
        <w:t>, R. Bigué</w:t>
      </w:r>
      <w:r w:rsidRPr="00B01823">
        <w:rPr>
          <w:vertAlign w:val="superscript"/>
        </w:rPr>
        <w:t>3</w:t>
      </w:r>
      <w:r>
        <w:t>, S. Mazzi</w:t>
      </w:r>
      <w:r w:rsidRPr="00B01823">
        <w:rPr>
          <w:vertAlign w:val="superscript"/>
        </w:rPr>
        <w:t>3</w:t>
      </w:r>
      <w:r>
        <w:t>, G. Dif-Pradalier</w:t>
      </w:r>
      <w:r w:rsidRPr="00B01823">
        <w:rPr>
          <w:vertAlign w:val="superscript"/>
        </w:rPr>
        <w:t>3</w:t>
      </w:r>
      <w:r>
        <w:t>,</w:t>
      </w:r>
      <w:r>
        <w:rPr>
          <w:vertAlign w:val="superscript"/>
        </w:rPr>
        <w:t xml:space="preserve"> </w:t>
      </w:r>
      <w:r>
        <w:t>D. Zarzoso</w:t>
      </w:r>
      <w:r w:rsidRPr="00B01823">
        <w:rPr>
          <w:vertAlign w:val="superscript"/>
        </w:rPr>
        <w:t>4</w:t>
      </w:r>
      <w:r>
        <w:t>, K. Obrejan</w:t>
      </w:r>
      <w:r w:rsidRPr="00B01823">
        <w:rPr>
          <w:vertAlign w:val="superscript"/>
        </w:rPr>
        <w:t>3</w:t>
      </w:r>
      <w:r>
        <w:t>, V. Grandgirard</w:t>
      </w:r>
      <w:r w:rsidRPr="00B01823">
        <w:rPr>
          <w:vertAlign w:val="superscript"/>
        </w:rPr>
        <w:t>3</w:t>
      </w:r>
      <w:r>
        <w:t>, X. Garbet</w:t>
      </w:r>
      <w:r w:rsidRPr="001C0AE9">
        <w:rPr>
          <w:vertAlign w:val="superscript"/>
        </w:rPr>
        <w:t>1</w:t>
      </w:r>
      <w:r>
        <w:rPr>
          <w:vertAlign w:val="superscript"/>
        </w:rPr>
        <w:t>,3</w:t>
      </w:r>
    </w:p>
    <w:p w14:paraId="34708F92" w14:textId="77777777" w:rsidR="000C44DB" w:rsidRDefault="0013685D" w:rsidP="0013685D">
      <w:pPr>
        <w:pStyle w:val="NormalWeb"/>
        <w:rPr>
          <w:i/>
          <w:iCs/>
        </w:rPr>
      </w:pPr>
      <w:r w:rsidRPr="00B01823">
        <w:rPr>
          <w:i/>
          <w:iCs/>
          <w:vertAlign w:val="superscript"/>
        </w:rPr>
        <w:t>1</w:t>
      </w:r>
      <w:r w:rsidRPr="00B01823">
        <w:rPr>
          <w:i/>
          <w:iCs/>
        </w:rPr>
        <w:t>School of Physical and Mathematical Sciences, Nanyang Technological University, Singapore</w:t>
      </w:r>
      <w:r>
        <w:rPr>
          <w:i/>
          <w:iCs/>
        </w:rPr>
        <w:br/>
      </w:r>
      <w:r w:rsidRPr="00B01823">
        <w:rPr>
          <w:i/>
          <w:iCs/>
          <w:vertAlign w:val="superscript"/>
        </w:rPr>
        <w:t>2</w:t>
      </w:r>
      <w:r w:rsidRPr="00FE329F">
        <w:rPr>
          <w:i/>
          <w:iCs/>
        </w:rPr>
        <w:t>Consorzio RFX, Padova, Italy</w:t>
      </w:r>
      <w:r>
        <w:rPr>
          <w:i/>
          <w:iCs/>
        </w:rPr>
        <w:br/>
      </w:r>
      <w:r w:rsidRPr="00B01823">
        <w:rPr>
          <w:i/>
          <w:iCs/>
          <w:vertAlign w:val="superscript"/>
        </w:rPr>
        <w:t>3</w:t>
      </w:r>
      <w:r>
        <w:rPr>
          <w:i/>
          <w:iCs/>
        </w:rPr>
        <w:t xml:space="preserve">IRFM, CEA </w:t>
      </w:r>
      <w:r w:rsidRPr="00E55B39">
        <w:rPr>
          <w:i/>
          <w:iCs/>
        </w:rPr>
        <w:t>Cadarache</w:t>
      </w:r>
      <w:r>
        <w:rPr>
          <w:i/>
          <w:iCs/>
        </w:rPr>
        <w:t>, France</w:t>
      </w:r>
      <w:r>
        <w:rPr>
          <w:i/>
          <w:iCs/>
        </w:rPr>
        <w:br/>
      </w:r>
      <w:r w:rsidRPr="00B01823">
        <w:rPr>
          <w:i/>
          <w:iCs/>
          <w:vertAlign w:val="superscript"/>
        </w:rPr>
        <w:t>4</w:t>
      </w:r>
      <w:r w:rsidRPr="005B2418">
        <w:rPr>
          <w:i/>
          <w:iCs/>
        </w:rPr>
        <w:t>Aix Marseille Univ</w:t>
      </w:r>
      <w:r>
        <w:rPr>
          <w:i/>
          <w:iCs/>
        </w:rPr>
        <w:t>ersity</w:t>
      </w:r>
      <w:r w:rsidRPr="005B2418">
        <w:rPr>
          <w:i/>
          <w:iCs/>
        </w:rPr>
        <w:t>, CNRS, Centrale Med, M2P2, Marseille, France</w:t>
      </w:r>
    </w:p>
    <w:p w14:paraId="0D1ACC22" w14:textId="2E19F248" w:rsidR="000C44DB" w:rsidRPr="00B01823" w:rsidRDefault="000C44DB" w:rsidP="0013685D">
      <w:pPr>
        <w:pStyle w:val="NormalWeb"/>
        <w:rPr>
          <w:i/>
          <w:iCs/>
        </w:rPr>
      </w:pPr>
      <w:r w:rsidRPr="000C44DB">
        <w:t>Corresponding Author:</w:t>
      </w:r>
      <w:r w:rsidRPr="000C44DB">
        <w:rPr>
          <w:i/>
          <w:iCs/>
        </w:rPr>
        <w:t xml:space="preserve"> </w:t>
      </w:r>
      <w:r w:rsidRPr="000C44DB">
        <w:t>shrish.raj@ntu.edu.sg</w:t>
      </w:r>
    </w:p>
    <w:p w14:paraId="6B3921C2" w14:textId="21D2FB59" w:rsidR="0013685D" w:rsidRDefault="0013685D" w:rsidP="0013685D">
      <w:pPr>
        <w:pStyle w:val="NormalWeb"/>
        <w:jc w:val="both"/>
      </w:pPr>
      <w:r>
        <w:t xml:space="preserve">Toroidal Alfvén Eigenmodes (TAEs) [1] are of significant interest in tokamak research because they can transport energetic particles and interact with turbulence. While the former poses a challenge for sustaining plasma confinement in devices like ITER and future fusion reactors [2], experimental evidence [3] suggests the latter effect could enhance plasma confinement. </w:t>
      </w:r>
    </w:p>
    <w:p w14:paraId="09D100B2" w14:textId="1EC04E59" w:rsidR="0013685D" w:rsidRDefault="0013685D" w:rsidP="0013685D">
      <w:pPr>
        <w:pStyle w:val="NormalWeb"/>
        <w:jc w:val="both"/>
      </w:pPr>
      <w:r>
        <w:t xml:space="preserve">We present simulations of both antenna-driven and fast ion-driven TAEs using the </w:t>
      </w:r>
      <w:r w:rsidRPr="00DA6D0A">
        <w:rPr>
          <w:rStyle w:val="Strong"/>
          <w:rFonts w:eastAsiaTheme="majorEastAsia"/>
          <w:b w:val="0"/>
          <w:bCs w:val="0"/>
        </w:rPr>
        <w:t>GYrokinetic SEmi-LAgrangian (GYSELA)</w:t>
      </w:r>
      <w:r>
        <w:t xml:space="preserve"> code [4], a global, flux-driven, full-F, semi-Lagrangian framework designed for nonlinear gyrokinetic simulations of plasma turbulence in tokamaks. We have incorporated the </w:t>
      </w:r>
      <w:r w:rsidRPr="00482A1B">
        <w:rPr>
          <w:rStyle w:val="Strong"/>
          <w:rFonts w:eastAsiaTheme="majorEastAsia"/>
          <w:b w:val="0"/>
          <w:bCs w:val="0"/>
        </w:rPr>
        <w:t>mixed-variable scheme</w:t>
      </w:r>
      <w:r>
        <w:t xml:space="preserve"> [5] to solve the Ampère equation, reducing numerical inaccuracies common in electromagnetic gyrokinetic simulations. GYSELA's capability makes it well-suited for capturing the global effects of TAEs due to their wide mode structures and large fast-ion orbits, which is necessary for future investigation of their interaction with turbulence. </w:t>
      </w:r>
    </w:p>
    <w:p w14:paraId="321471D3" w14:textId="77777777" w:rsidR="0013685D" w:rsidRDefault="0013685D" w:rsidP="0013685D">
      <w:pPr>
        <w:pStyle w:val="NormalWeb"/>
        <w:jc w:val="both"/>
      </w:pPr>
      <w:r>
        <w:t xml:space="preserve">In the present study, we benchmarked TAE growth rates and frequencies against ITPA reference results [6], focusing on the </w:t>
      </w:r>
      <w:r>
        <w:rPr>
          <w:rStyle w:val="katex-mathml"/>
          <w:rFonts w:eastAsiaTheme="majorEastAsia"/>
        </w:rPr>
        <w:t>n=−6</w:t>
      </w:r>
      <w:r>
        <w:t xml:space="preserve"> TAE. A key modification to the fast ion initialisation enabled the use of a </w:t>
      </w:r>
      <w:r w:rsidRPr="00D20366">
        <w:rPr>
          <w:rStyle w:val="Strong"/>
          <w:rFonts w:eastAsiaTheme="majorEastAsia"/>
          <w:b w:val="0"/>
          <w:bCs w:val="0"/>
        </w:rPr>
        <w:t>canonical Maxwellian distribution</w:t>
      </w:r>
      <w:r>
        <w:t>, addressing limitations associated with the relaxation of pressure profiles in earlier simulations. This adjustment improved the agreement between the simulated and benchmarked TAE growth rates and frequencies with respect to fast ion temperature. We also present TAEs driven by an antenna [7], confirming their ability to generate Geodesic Acoustic Modes (GAMs) and zonal flows.</w:t>
      </w:r>
    </w:p>
    <w:p w14:paraId="555F783A" w14:textId="77777777" w:rsidR="0013685D" w:rsidRDefault="0013685D" w:rsidP="0013685D">
      <w:pPr>
        <w:rPr>
          <w:rFonts w:ascii="Times New Roman" w:hAnsi="Times New Roman" w:cs="Times New Roman"/>
        </w:rPr>
      </w:pPr>
      <w:r>
        <w:rPr>
          <w:rFonts w:ascii="Times New Roman" w:hAnsi="Times New Roman" w:cs="Times New Roman"/>
        </w:rPr>
        <w:t>References:</w:t>
      </w:r>
    </w:p>
    <w:p w14:paraId="4A943B56" w14:textId="77777777" w:rsidR="0013685D" w:rsidRPr="00CD3643" w:rsidRDefault="0013685D" w:rsidP="0013685D">
      <w:pPr>
        <w:rPr>
          <w:rFonts w:ascii="Times New Roman" w:hAnsi="Times New Roman" w:cs="Times New Roman"/>
        </w:rPr>
      </w:pPr>
      <w:r>
        <w:rPr>
          <w:rFonts w:ascii="Times New Roman" w:hAnsi="Times New Roman" w:cs="Times New Roman"/>
        </w:rPr>
        <w:t>[1</w:t>
      </w:r>
      <w:r w:rsidRPr="00EF18AA">
        <w:rPr>
          <w:rFonts w:ascii="Times New Roman" w:hAnsi="Times New Roman" w:cs="Times New Roman"/>
        </w:rPr>
        <w:t xml:space="preserve">] </w:t>
      </w:r>
      <w:r w:rsidRPr="00EF18AA">
        <w:rPr>
          <w:rFonts w:ascii="Times New Roman" w:hAnsi="Times New Roman" w:cs="Times New Roman"/>
          <w:color w:val="222222"/>
          <w:shd w:val="clear" w:color="auto" w:fill="FFFFFF"/>
        </w:rPr>
        <w:t>Cheng, C. Z</w:t>
      </w:r>
      <w:r w:rsidRPr="00CD3643">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r w:rsidRPr="00CD3643">
        <w:rPr>
          <w:rFonts w:ascii="Times New Roman" w:hAnsi="Times New Roman" w:cs="Times New Roman"/>
          <w:color w:val="222222"/>
          <w:shd w:val="clear" w:color="auto" w:fill="FFFFFF"/>
        </w:rPr>
        <w:t xml:space="preserve"> et.al</w:t>
      </w:r>
      <w:r>
        <w:rPr>
          <w:rFonts w:ascii="Times New Roman" w:hAnsi="Times New Roman" w:cs="Times New Roman"/>
          <w:color w:val="222222"/>
          <w:shd w:val="clear" w:color="auto" w:fill="FFFFFF"/>
        </w:rPr>
        <w:t xml:space="preserve">. </w:t>
      </w:r>
      <w:r w:rsidRPr="00EF18AA">
        <w:rPr>
          <w:rFonts w:ascii="Times New Roman" w:hAnsi="Times New Roman" w:cs="Times New Roman"/>
          <w:i/>
          <w:iCs/>
          <w:color w:val="222222"/>
          <w:shd w:val="clear" w:color="auto" w:fill="FFFFFF"/>
        </w:rPr>
        <w:t>Annals of Physics</w:t>
      </w:r>
      <w:r w:rsidRPr="00EF18AA">
        <w:rPr>
          <w:rFonts w:ascii="Times New Roman" w:hAnsi="Times New Roman" w:cs="Times New Roman"/>
          <w:color w:val="222222"/>
          <w:shd w:val="clear" w:color="auto" w:fill="FFFFFF"/>
        </w:rPr>
        <w:t> 161.1 (1985): 21-47.</w:t>
      </w:r>
      <w:r>
        <w:rPr>
          <w:rFonts w:ascii="Times New Roman" w:hAnsi="Times New Roman" w:cs="Times New Roman"/>
        </w:rPr>
        <w:br/>
        <w:t xml:space="preserve">[2] </w:t>
      </w:r>
      <w:r w:rsidRPr="00970ADD">
        <w:rPr>
          <w:rFonts w:ascii="Times New Roman" w:hAnsi="Times New Roman" w:cs="Times New Roman"/>
        </w:rPr>
        <w:t>Heidbrink, W. W</w:t>
      </w:r>
      <w:r>
        <w:rPr>
          <w:rFonts w:ascii="Times New Roman" w:hAnsi="Times New Roman" w:cs="Times New Roman"/>
        </w:rPr>
        <w:t>.</w:t>
      </w:r>
      <w:r w:rsidRPr="00970ADD">
        <w:rPr>
          <w:rFonts w:ascii="Times New Roman" w:hAnsi="Times New Roman" w:cs="Times New Roman"/>
        </w:rPr>
        <w:t xml:space="preserve"> </w:t>
      </w:r>
      <w:r w:rsidRPr="00970ADD">
        <w:rPr>
          <w:rFonts w:ascii="Times New Roman" w:hAnsi="Times New Roman" w:cs="Times New Roman"/>
          <w:i/>
          <w:iCs/>
        </w:rPr>
        <w:t>Physics of Plasmas</w:t>
      </w:r>
      <w:r w:rsidRPr="00970ADD">
        <w:rPr>
          <w:rFonts w:ascii="Times New Roman" w:hAnsi="Times New Roman" w:cs="Times New Roman"/>
        </w:rPr>
        <w:t> 15.5 (2008).</w:t>
      </w:r>
      <w:r>
        <w:rPr>
          <w:rFonts w:ascii="Times New Roman" w:hAnsi="Times New Roman" w:cs="Times New Roman"/>
        </w:rPr>
        <w:br/>
        <w:t xml:space="preserve">[3] </w:t>
      </w:r>
      <w:r w:rsidRPr="007E2369">
        <w:rPr>
          <w:rFonts w:ascii="Times New Roman" w:hAnsi="Times New Roman" w:cs="Times New Roman"/>
          <w:lang w:val="en-AU"/>
        </w:rPr>
        <w:t>Mazzi</w:t>
      </w:r>
      <w:r>
        <w:rPr>
          <w:rFonts w:ascii="Times New Roman" w:hAnsi="Times New Roman" w:cs="Times New Roman"/>
          <w:lang w:val="en-AU"/>
        </w:rPr>
        <w:t>,</w:t>
      </w:r>
      <w:r w:rsidRPr="007E2369">
        <w:rPr>
          <w:rFonts w:ascii="Times New Roman" w:hAnsi="Times New Roman" w:cs="Times New Roman"/>
          <w:lang w:val="en-AU"/>
        </w:rPr>
        <w:t xml:space="preserve"> S</w:t>
      </w:r>
      <w:r>
        <w:rPr>
          <w:rFonts w:ascii="Times New Roman" w:hAnsi="Times New Roman" w:cs="Times New Roman"/>
          <w:lang w:val="en-AU"/>
        </w:rPr>
        <w:t>.</w:t>
      </w:r>
      <w:r w:rsidRPr="007E2369">
        <w:rPr>
          <w:rFonts w:ascii="Times New Roman" w:hAnsi="Times New Roman" w:cs="Times New Roman"/>
          <w:lang w:val="en-AU"/>
        </w:rPr>
        <w:t xml:space="preserve"> </w:t>
      </w:r>
      <w:r w:rsidRPr="00B01823">
        <w:rPr>
          <w:rFonts w:ascii="Times New Roman" w:hAnsi="Times New Roman" w:cs="Times New Roman"/>
          <w:i/>
          <w:iCs/>
          <w:lang w:val="en-AU"/>
        </w:rPr>
        <w:t>et al</w:t>
      </w:r>
      <w:r>
        <w:rPr>
          <w:rFonts w:ascii="Times New Roman" w:hAnsi="Times New Roman" w:cs="Times New Roman"/>
          <w:lang w:val="en-AU"/>
        </w:rPr>
        <w:t xml:space="preserve">, </w:t>
      </w:r>
      <w:r w:rsidRPr="007E2369">
        <w:rPr>
          <w:rFonts w:ascii="Times New Roman" w:hAnsi="Times New Roman" w:cs="Times New Roman"/>
          <w:lang w:val="en-AU"/>
        </w:rPr>
        <w:t xml:space="preserve"> </w:t>
      </w:r>
      <w:r w:rsidRPr="007E2369">
        <w:rPr>
          <w:rFonts w:ascii="Times New Roman" w:hAnsi="Times New Roman" w:cs="Times New Roman"/>
          <w:i/>
          <w:iCs/>
          <w:lang w:val="en-AU"/>
        </w:rPr>
        <w:t>Nature Physics</w:t>
      </w:r>
      <w:r w:rsidRPr="007E2369">
        <w:rPr>
          <w:rFonts w:ascii="Times New Roman" w:hAnsi="Times New Roman" w:cs="Times New Roman"/>
          <w:lang w:val="en-AU"/>
        </w:rPr>
        <w:t xml:space="preserve"> </w:t>
      </w:r>
      <w:r w:rsidRPr="007E2369">
        <w:rPr>
          <w:rFonts w:ascii="Times New Roman" w:hAnsi="Times New Roman" w:cs="Times New Roman"/>
          <w:b/>
          <w:bCs/>
          <w:lang w:val="en-AU"/>
        </w:rPr>
        <w:t>18</w:t>
      </w:r>
      <w:r w:rsidRPr="007E2369">
        <w:rPr>
          <w:rFonts w:ascii="Times New Roman" w:hAnsi="Times New Roman" w:cs="Times New Roman"/>
          <w:lang w:val="en-AU"/>
        </w:rPr>
        <w:t xml:space="preserve"> 776</w:t>
      </w:r>
      <w:r>
        <w:rPr>
          <w:rFonts w:ascii="Times New Roman" w:hAnsi="Times New Roman" w:cs="Times New Roman"/>
          <w:lang w:val="en-AU"/>
        </w:rPr>
        <w:t xml:space="preserve"> (2022).</w:t>
      </w:r>
      <w:r>
        <w:rPr>
          <w:rFonts w:ascii="Times New Roman" w:hAnsi="Times New Roman" w:cs="Times New Roman"/>
        </w:rPr>
        <w:br/>
        <w:t>[4</w:t>
      </w:r>
      <w:r w:rsidRPr="00CD3643">
        <w:rPr>
          <w:rFonts w:ascii="Times New Roman" w:hAnsi="Times New Roman" w:cs="Times New Roman"/>
        </w:rPr>
        <w:t xml:space="preserve">] </w:t>
      </w:r>
      <w:r w:rsidRPr="00CD3643">
        <w:rPr>
          <w:rFonts w:ascii="Times New Roman" w:hAnsi="Times New Roman" w:cs="Times New Roman"/>
          <w:color w:val="222222"/>
          <w:shd w:val="clear" w:color="auto" w:fill="FFFFFF"/>
        </w:rPr>
        <w:t xml:space="preserve">Grandgirard, Virginie, et al. </w:t>
      </w:r>
      <w:r w:rsidRPr="00CD3643">
        <w:rPr>
          <w:rFonts w:ascii="Times New Roman" w:hAnsi="Times New Roman" w:cs="Times New Roman"/>
          <w:i/>
          <w:iCs/>
          <w:color w:val="222222"/>
          <w:shd w:val="clear" w:color="auto" w:fill="FFFFFF"/>
        </w:rPr>
        <w:t>Computer physics communications</w:t>
      </w:r>
      <w:r w:rsidRPr="00CD3643">
        <w:rPr>
          <w:rFonts w:ascii="Times New Roman" w:hAnsi="Times New Roman" w:cs="Times New Roman"/>
          <w:color w:val="222222"/>
          <w:shd w:val="clear" w:color="auto" w:fill="FFFFFF"/>
        </w:rPr>
        <w:t> 207 (2016): 35-68.</w:t>
      </w:r>
      <w:r>
        <w:rPr>
          <w:rFonts w:ascii="Times New Roman" w:hAnsi="Times New Roman" w:cs="Times New Roman"/>
          <w:lang w:val="en-AU"/>
        </w:rPr>
        <w:br/>
        <w:t xml:space="preserve">[5] </w:t>
      </w:r>
      <w:r w:rsidRPr="00BA6AF7">
        <w:rPr>
          <w:rFonts w:ascii="Times New Roman" w:hAnsi="Times New Roman" w:cs="Times New Roman"/>
          <w:lang w:val="en-AU"/>
        </w:rPr>
        <w:t xml:space="preserve">Mishchenko, A. </w:t>
      </w:r>
      <w:r w:rsidRPr="00BA6AF7">
        <w:rPr>
          <w:rFonts w:ascii="Times New Roman" w:hAnsi="Times New Roman" w:cs="Times New Roman"/>
          <w:i/>
          <w:iCs/>
          <w:lang w:val="en-AU"/>
        </w:rPr>
        <w:t>et al.</w:t>
      </w:r>
      <w:r w:rsidRPr="00BA6AF7">
        <w:rPr>
          <w:rFonts w:ascii="Times New Roman" w:hAnsi="Times New Roman" w:cs="Times New Roman"/>
          <w:lang w:val="en-AU"/>
        </w:rPr>
        <w:t xml:space="preserve"> </w:t>
      </w:r>
      <w:r w:rsidRPr="00BA6AF7">
        <w:rPr>
          <w:rFonts w:ascii="Times New Roman" w:hAnsi="Times New Roman" w:cs="Times New Roman"/>
          <w:i/>
          <w:iCs/>
          <w:lang w:val="en-AU"/>
        </w:rPr>
        <w:t>Physics of Plasmas</w:t>
      </w:r>
      <w:r w:rsidRPr="00BA6AF7">
        <w:rPr>
          <w:rFonts w:ascii="Times New Roman" w:hAnsi="Times New Roman" w:cs="Times New Roman"/>
          <w:lang w:val="en-AU"/>
        </w:rPr>
        <w:t xml:space="preserve"> </w:t>
      </w:r>
      <w:r w:rsidRPr="00BA6AF7">
        <w:rPr>
          <w:rFonts w:ascii="Times New Roman" w:hAnsi="Times New Roman" w:cs="Times New Roman"/>
          <w:b/>
          <w:bCs/>
          <w:lang w:val="en-AU"/>
        </w:rPr>
        <w:t>24</w:t>
      </w:r>
      <w:r w:rsidRPr="00BA6AF7">
        <w:rPr>
          <w:rFonts w:ascii="Times New Roman" w:hAnsi="Times New Roman" w:cs="Times New Roman"/>
          <w:lang w:val="en-AU"/>
        </w:rPr>
        <w:t xml:space="preserve"> 081206 (2017).</w:t>
      </w:r>
      <w:r>
        <w:rPr>
          <w:rFonts w:ascii="Times New Roman" w:hAnsi="Times New Roman" w:cs="Times New Roman"/>
          <w:lang w:val="en-AU"/>
        </w:rPr>
        <w:br/>
        <w:t xml:space="preserve">[6] </w:t>
      </w:r>
      <w:r w:rsidRPr="00B70AB7">
        <w:rPr>
          <w:rFonts w:ascii="Times New Roman" w:hAnsi="Times New Roman" w:cs="Times New Roman"/>
          <w:lang w:val="en-AU"/>
        </w:rPr>
        <w:t xml:space="preserve">Könies, A. </w:t>
      </w:r>
      <w:r w:rsidRPr="00B70AB7">
        <w:rPr>
          <w:rFonts w:ascii="Times New Roman" w:hAnsi="Times New Roman" w:cs="Times New Roman"/>
          <w:i/>
          <w:iCs/>
          <w:lang w:val="en-AU"/>
        </w:rPr>
        <w:t>et al</w:t>
      </w:r>
      <w:r w:rsidRPr="00B70AB7">
        <w:rPr>
          <w:rFonts w:ascii="Times New Roman" w:hAnsi="Times New Roman" w:cs="Times New Roman"/>
          <w:lang w:val="en-AU"/>
        </w:rPr>
        <w:t xml:space="preserve">. </w:t>
      </w:r>
      <w:r w:rsidRPr="00B70AB7">
        <w:rPr>
          <w:rFonts w:ascii="Times New Roman" w:hAnsi="Times New Roman" w:cs="Times New Roman"/>
          <w:i/>
          <w:iCs/>
          <w:lang w:val="en-AU"/>
        </w:rPr>
        <w:t>Nucl. Fusion</w:t>
      </w:r>
      <w:r w:rsidRPr="00B70AB7">
        <w:rPr>
          <w:rFonts w:ascii="Times New Roman" w:hAnsi="Times New Roman" w:cs="Times New Roman"/>
          <w:lang w:val="en-AU"/>
        </w:rPr>
        <w:t xml:space="preserve"> </w:t>
      </w:r>
      <w:r w:rsidRPr="00B70AB7">
        <w:rPr>
          <w:rFonts w:ascii="Times New Roman" w:hAnsi="Times New Roman" w:cs="Times New Roman"/>
          <w:b/>
          <w:bCs/>
          <w:lang w:val="en-AU"/>
        </w:rPr>
        <w:t>58</w:t>
      </w:r>
      <w:r>
        <w:rPr>
          <w:rFonts w:ascii="Times New Roman" w:hAnsi="Times New Roman" w:cs="Times New Roman"/>
          <w:lang w:val="en-AU"/>
        </w:rPr>
        <w:t xml:space="preserve"> </w:t>
      </w:r>
      <w:r w:rsidRPr="00B70AB7">
        <w:rPr>
          <w:rFonts w:ascii="Times New Roman" w:hAnsi="Times New Roman" w:cs="Times New Roman"/>
          <w:lang w:val="en-AU"/>
        </w:rPr>
        <w:t>126027 (2018).</w:t>
      </w:r>
      <w:r>
        <w:rPr>
          <w:rFonts w:ascii="Times New Roman" w:hAnsi="Times New Roman" w:cs="Times New Roman"/>
          <w:lang w:val="en-AU"/>
        </w:rPr>
        <w:br/>
        <w:t xml:space="preserve">[7] </w:t>
      </w:r>
      <w:r w:rsidRPr="00E16D20">
        <w:rPr>
          <w:rFonts w:ascii="Times New Roman" w:hAnsi="Times New Roman" w:cs="Times New Roman"/>
          <w:lang w:val="en-AU"/>
        </w:rPr>
        <w:t xml:space="preserve">Sadr, M. </w:t>
      </w:r>
      <w:r w:rsidRPr="00E16D20">
        <w:rPr>
          <w:rFonts w:ascii="Times New Roman" w:hAnsi="Times New Roman" w:cs="Times New Roman"/>
          <w:i/>
          <w:iCs/>
          <w:lang w:val="en-AU"/>
        </w:rPr>
        <w:t>et al.</w:t>
      </w:r>
      <w:r w:rsidRPr="00E16D20">
        <w:rPr>
          <w:rFonts w:ascii="Times New Roman" w:hAnsi="Times New Roman" w:cs="Times New Roman"/>
          <w:lang w:val="en-AU"/>
        </w:rPr>
        <w:t xml:space="preserve"> </w:t>
      </w:r>
      <w:r w:rsidRPr="00E16D20">
        <w:rPr>
          <w:rFonts w:ascii="Times New Roman" w:hAnsi="Times New Roman" w:cs="Times New Roman"/>
          <w:i/>
          <w:iCs/>
          <w:lang w:val="en-AU"/>
        </w:rPr>
        <w:t>Plasma Physics and Controlled Fusion</w:t>
      </w:r>
      <w:r w:rsidRPr="00E16D20">
        <w:rPr>
          <w:rFonts w:ascii="Times New Roman" w:hAnsi="Times New Roman" w:cs="Times New Roman"/>
          <w:lang w:val="en-AU"/>
        </w:rPr>
        <w:t xml:space="preserve"> </w:t>
      </w:r>
      <w:r w:rsidRPr="00E16D20">
        <w:rPr>
          <w:rFonts w:ascii="Times New Roman" w:hAnsi="Times New Roman" w:cs="Times New Roman"/>
          <w:b/>
          <w:bCs/>
          <w:lang w:val="en-AU"/>
        </w:rPr>
        <w:t>64</w:t>
      </w:r>
      <w:r>
        <w:rPr>
          <w:rFonts w:ascii="Times New Roman" w:hAnsi="Times New Roman" w:cs="Times New Roman"/>
          <w:lang w:val="en-AU"/>
        </w:rPr>
        <w:t xml:space="preserve"> </w:t>
      </w:r>
      <w:r w:rsidRPr="002F6212">
        <w:rPr>
          <w:rFonts w:ascii="Times New Roman" w:hAnsi="Times New Roman" w:cs="Times New Roman"/>
          <w:lang w:val="en-AU"/>
        </w:rPr>
        <w:t>085010</w:t>
      </w:r>
      <w:r w:rsidRPr="00E16D20">
        <w:rPr>
          <w:rFonts w:ascii="Times New Roman" w:hAnsi="Times New Roman" w:cs="Times New Roman"/>
          <w:lang w:val="en-AU"/>
        </w:rPr>
        <w:t xml:space="preserve"> (2022).</w:t>
      </w:r>
    </w:p>
    <w:p w14:paraId="0FF4CA9C" w14:textId="77777777" w:rsidR="00E24FCA" w:rsidRDefault="00E24FCA"/>
    <w:sectPr w:rsidR="00E24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5D"/>
    <w:rsid w:val="000C44DB"/>
    <w:rsid w:val="0013685D"/>
    <w:rsid w:val="001C19EF"/>
    <w:rsid w:val="003112DE"/>
    <w:rsid w:val="004F24BB"/>
    <w:rsid w:val="0053410D"/>
    <w:rsid w:val="007F7CFD"/>
    <w:rsid w:val="00BA5ECA"/>
    <w:rsid w:val="00C83CD4"/>
    <w:rsid w:val="00CC34F3"/>
    <w:rsid w:val="00DA541D"/>
    <w:rsid w:val="00E24FCA"/>
    <w:rsid w:val="00F17716"/>
    <w:rsid w:val="00FE62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E114"/>
  <w15:chartTrackingRefBased/>
  <w15:docId w15:val="{49D25C3E-058D-4DBC-AEAB-EA59E4A0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5D"/>
  </w:style>
  <w:style w:type="paragraph" w:styleId="Heading1">
    <w:name w:val="heading 1"/>
    <w:basedOn w:val="Normal"/>
    <w:next w:val="Normal"/>
    <w:link w:val="Heading1Char"/>
    <w:uiPriority w:val="9"/>
    <w:qFormat/>
    <w:rsid w:val="00136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85D"/>
    <w:rPr>
      <w:rFonts w:eastAsiaTheme="majorEastAsia" w:cstheme="majorBidi"/>
      <w:color w:val="272727" w:themeColor="text1" w:themeTint="D8"/>
    </w:rPr>
  </w:style>
  <w:style w:type="paragraph" w:styleId="Title">
    <w:name w:val="Title"/>
    <w:basedOn w:val="Normal"/>
    <w:next w:val="Normal"/>
    <w:link w:val="TitleChar"/>
    <w:uiPriority w:val="10"/>
    <w:qFormat/>
    <w:rsid w:val="00136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85D"/>
    <w:pPr>
      <w:spacing w:before="160"/>
      <w:jc w:val="center"/>
    </w:pPr>
    <w:rPr>
      <w:i/>
      <w:iCs/>
      <w:color w:val="404040" w:themeColor="text1" w:themeTint="BF"/>
    </w:rPr>
  </w:style>
  <w:style w:type="character" w:customStyle="1" w:styleId="QuoteChar">
    <w:name w:val="Quote Char"/>
    <w:basedOn w:val="DefaultParagraphFont"/>
    <w:link w:val="Quote"/>
    <w:uiPriority w:val="29"/>
    <w:rsid w:val="0013685D"/>
    <w:rPr>
      <w:i/>
      <w:iCs/>
      <w:color w:val="404040" w:themeColor="text1" w:themeTint="BF"/>
    </w:rPr>
  </w:style>
  <w:style w:type="paragraph" w:styleId="ListParagraph">
    <w:name w:val="List Paragraph"/>
    <w:basedOn w:val="Normal"/>
    <w:uiPriority w:val="34"/>
    <w:qFormat/>
    <w:rsid w:val="0013685D"/>
    <w:pPr>
      <w:ind w:left="720"/>
      <w:contextualSpacing/>
    </w:pPr>
  </w:style>
  <w:style w:type="character" w:styleId="IntenseEmphasis">
    <w:name w:val="Intense Emphasis"/>
    <w:basedOn w:val="DefaultParagraphFont"/>
    <w:uiPriority w:val="21"/>
    <w:qFormat/>
    <w:rsid w:val="0013685D"/>
    <w:rPr>
      <w:i/>
      <w:iCs/>
      <w:color w:val="0F4761" w:themeColor="accent1" w:themeShade="BF"/>
    </w:rPr>
  </w:style>
  <w:style w:type="paragraph" w:styleId="IntenseQuote">
    <w:name w:val="Intense Quote"/>
    <w:basedOn w:val="Normal"/>
    <w:next w:val="Normal"/>
    <w:link w:val="IntenseQuoteChar"/>
    <w:uiPriority w:val="30"/>
    <w:qFormat/>
    <w:rsid w:val="0013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85D"/>
    <w:rPr>
      <w:i/>
      <w:iCs/>
      <w:color w:val="0F4761" w:themeColor="accent1" w:themeShade="BF"/>
    </w:rPr>
  </w:style>
  <w:style w:type="character" w:styleId="IntenseReference">
    <w:name w:val="Intense Reference"/>
    <w:basedOn w:val="DefaultParagraphFont"/>
    <w:uiPriority w:val="32"/>
    <w:qFormat/>
    <w:rsid w:val="0013685D"/>
    <w:rPr>
      <w:b/>
      <w:bCs/>
      <w:smallCaps/>
      <w:color w:val="0F4761" w:themeColor="accent1" w:themeShade="BF"/>
      <w:spacing w:val="5"/>
    </w:rPr>
  </w:style>
  <w:style w:type="paragraph" w:styleId="NormalWeb">
    <w:name w:val="Normal (Web)"/>
    <w:basedOn w:val="Normal"/>
    <w:uiPriority w:val="99"/>
    <w:unhideWhenUsed/>
    <w:rsid w:val="0013685D"/>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13685D"/>
    <w:rPr>
      <w:b/>
      <w:bCs/>
    </w:rPr>
  </w:style>
  <w:style w:type="character" w:customStyle="1" w:styleId="katex-mathml">
    <w:name w:val="katex-mathml"/>
    <w:basedOn w:val="DefaultParagraphFont"/>
    <w:rsid w:val="0013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Shrish Raj</dc:creator>
  <cp:keywords/>
  <dc:description/>
  <cp:lastModifiedBy>Shrish Raj</cp:lastModifiedBy>
  <cp:revision>6</cp:revision>
  <dcterms:created xsi:type="dcterms:W3CDTF">2024-12-10T06:39:00Z</dcterms:created>
  <dcterms:modified xsi:type="dcterms:W3CDTF">2024-12-11T12:22:00Z</dcterms:modified>
</cp:coreProperties>
</file>