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484FF" w14:textId="77777777" w:rsidR="005273F6" w:rsidRPr="00A14BB8" w:rsidRDefault="005273F6" w:rsidP="0037488A">
      <w:pPr>
        <w:spacing w:after="120" w:line="360" w:lineRule="auto"/>
        <w:rPr>
          <w:sz w:val="28"/>
          <w:szCs w:val="28"/>
          <w:u w:val="single"/>
        </w:rPr>
      </w:pPr>
    </w:p>
    <w:p w14:paraId="0D62DCFF" w14:textId="6AB2173A" w:rsidR="00BC585F" w:rsidRPr="00A14BB8" w:rsidRDefault="000E2985" w:rsidP="0037488A">
      <w:pPr>
        <w:spacing w:before="360" w:after="240" w:line="360" w:lineRule="auto"/>
        <w:jc w:val="center"/>
        <w:rPr>
          <w:sz w:val="28"/>
          <w:szCs w:val="28"/>
          <w:u w:val="single"/>
        </w:rPr>
      </w:pPr>
      <w:r w:rsidRPr="00A14BB8">
        <w:rPr>
          <w:sz w:val="28"/>
          <w:szCs w:val="28"/>
          <w:u w:val="single"/>
        </w:rPr>
        <w:t>Reply to referee</w:t>
      </w:r>
      <w:r w:rsidR="002D0763" w:rsidRPr="00A14BB8">
        <w:rPr>
          <w:sz w:val="28"/>
          <w:szCs w:val="28"/>
          <w:u w:val="single"/>
        </w:rPr>
        <w:t>s</w:t>
      </w:r>
      <w:r w:rsidR="00335F21" w:rsidRPr="00A14BB8">
        <w:rPr>
          <w:sz w:val="28"/>
          <w:szCs w:val="28"/>
          <w:u w:val="single"/>
        </w:rPr>
        <w:t>’</w:t>
      </w:r>
      <w:r w:rsidR="00BC585F" w:rsidRPr="00A14BB8">
        <w:rPr>
          <w:sz w:val="28"/>
          <w:szCs w:val="28"/>
          <w:u w:val="single"/>
        </w:rPr>
        <w:t xml:space="preserve"> comments on </w:t>
      </w:r>
      <w:r w:rsidR="005D4A26">
        <w:rPr>
          <w:color w:val="000000"/>
          <w:sz w:val="28"/>
          <w:szCs w:val="28"/>
          <w:u w:val="single"/>
        </w:rPr>
        <w:t>EC21 Paper</w:t>
      </w:r>
    </w:p>
    <w:p w14:paraId="24C4D225" w14:textId="53804F12" w:rsidR="00BC585F" w:rsidRPr="009E0DAD" w:rsidRDefault="00B72D01" w:rsidP="005F26EA">
      <w:pPr>
        <w:rPr>
          <w:sz w:val="28"/>
          <w:szCs w:val="28"/>
        </w:rPr>
      </w:pPr>
      <w:r w:rsidRPr="009E0DAD">
        <w:rPr>
          <w:sz w:val="28"/>
          <w:szCs w:val="28"/>
        </w:rPr>
        <w:t>"</w:t>
      </w:r>
      <w:r w:rsidR="00C30C43" w:rsidRPr="009E0DAD">
        <w:rPr>
          <w:color w:val="000000"/>
          <w:sz w:val="28"/>
          <w:szCs w:val="28"/>
          <w:shd w:val="clear" w:color="auto" w:fill="FFFFFF"/>
        </w:rPr>
        <w:t xml:space="preserve">Database study of turbulent electron temperature fluctuation </w:t>
      </w:r>
      <w:r w:rsidR="005F26EA" w:rsidRPr="009E0DAD">
        <w:rPr>
          <w:color w:val="000000"/>
          <w:sz w:val="28"/>
          <w:szCs w:val="28"/>
          <w:shd w:val="clear" w:color="auto" w:fill="FFFFFF"/>
        </w:rPr>
        <w:t>m</w:t>
      </w:r>
      <w:r w:rsidR="00C30C43" w:rsidRPr="009E0DAD">
        <w:rPr>
          <w:color w:val="000000"/>
          <w:sz w:val="28"/>
          <w:szCs w:val="28"/>
          <w:shd w:val="clear" w:color="auto" w:fill="FFFFFF"/>
        </w:rPr>
        <w:t>easurements</w:t>
      </w:r>
      <w:r w:rsidR="005F26EA" w:rsidRPr="009E0DAD">
        <w:rPr>
          <w:color w:val="000000"/>
          <w:sz w:val="28"/>
          <w:szCs w:val="28"/>
          <w:shd w:val="clear" w:color="auto" w:fill="FFFFFF"/>
        </w:rPr>
        <w:t xml:space="preserve"> at ASDEX Upgrade</w:t>
      </w:r>
      <w:r w:rsidR="00BC585F" w:rsidRPr="009E0DAD">
        <w:rPr>
          <w:sz w:val="28"/>
          <w:szCs w:val="28"/>
        </w:rPr>
        <w:t>"</w:t>
      </w:r>
    </w:p>
    <w:p w14:paraId="2AEEF139" w14:textId="77777777" w:rsidR="005273F6" w:rsidRPr="00A14BB8" w:rsidRDefault="005273F6" w:rsidP="00335F21">
      <w:pPr>
        <w:spacing w:line="276" w:lineRule="auto"/>
        <w:jc w:val="both"/>
        <w:rPr>
          <w:sz w:val="22"/>
          <w:szCs w:val="22"/>
        </w:rPr>
      </w:pPr>
    </w:p>
    <w:p w14:paraId="577A2434" w14:textId="79EECCB8" w:rsidR="00DB0307" w:rsidRPr="00A14BB8" w:rsidRDefault="00AC0266" w:rsidP="00335F21">
      <w:pPr>
        <w:spacing w:line="276" w:lineRule="auto"/>
        <w:jc w:val="both"/>
        <w:rPr>
          <w:sz w:val="22"/>
          <w:szCs w:val="22"/>
        </w:rPr>
      </w:pPr>
      <w:r>
        <w:rPr>
          <w:sz w:val="22"/>
          <w:szCs w:val="22"/>
        </w:rPr>
        <w:t xml:space="preserve">The authors are very grateful to the referees for their careful reading and insightful comments on this paper.  The paper and discussion have been improved thanks to the referees’ suggestions.  </w:t>
      </w:r>
      <w:r w:rsidR="005F26EA" w:rsidRPr="00A14BB8">
        <w:rPr>
          <w:sz w:val="22"/>
          <w:szCs w:val="22"/>
        </w:rPr>
        <w:t xml:space="preserve">In </w:t>
      </w:r>
      <w:r w:rsidR="00EC5A22" w:rsidRPr="00A14BB8">
        <w:rPr>
          <w:sz w:val="22"/>
          <w:szCs w:val="22"/>
        </w:rPr>
        <w:t xml:space="preserve">the following table, the authors </w:t>
      </w:r>
      <w:r w:rsidR="002C1249" w:rsidRPr="00A14BB8">
        <w:rPr>
          <w:sz w:val="22"/>
          <w:szCs w:val="22"/>
        </w:rPr>
        <w:t xml:space="preserve">respond to </w:t>
      </w:r>
      <w:r w:rsidR="00EC5A22" w:rsidRPr="00A14BB8">
        <w:rPr>
          <w:sz w:val="22"/>
          <w:szCs w:val="22"/>
        </w:rPr>
        <w:t>the referee</w:t>
      </w:r>
      <w:r w:rsidR="002D0763" w:rsidRPr="00A14BB8">
        <w:rPr>
          <w:sz w:val="22"/>
          <w:szCs w:val="22"/>
        </w:rPr>
        <w:t>s</w:t>
      </w:r>
      <w:r w:rsidR="00936E45" w:rsidRPr="00A14BB8">
        <w:rPr>
          <w:sz w:val="22"/>
          <w:szCs w:val="22"/>
        </w:rPr>
        <w:t>’</w:t>
      </w:r>
      <w:r w:rsidR="00EC5A22" w:rsidRPr="00A14BB8">
        <w:rPr>
          <w:sz w:val="22"/>
          <w:szCs w:val="22"/>
        </w:rPr>
        <w:t xml:space="preserve"> comments. Changes made to </w:t>
      </w:r>
      <w:r w:rsidR="002C1249" w:rsidRPr="00A14BB8">
        <w:rPr>
          <w:sz w:val="22"/>
          <w:szCs w:val="22"/>
        </w:rPr>
        <w:t xml:space="preserve">the </w:t>
      </w:r>
      <w:r w:rsidR="00EC5A22" w:rsidRPr="00A14BB8">
        <w:rPr>
          <w:sz w:val="22"/>
          <w:szCs w:val="22"/>
        </w:rPr>
        <w:t xml:space="preserve">manuscript are </w:t>
      </w:r>
      <w:r w:rsidR="00E9135F" w:rsidRPr="00A14BB8">
        <w:rPr>
          <w:sz w:val="22"/>
          <w:szCs w:val="22"/>
        </w:rPr>
        <w:t>indicated</w:t>
      </w:r>
      <w:r w:rsidR="00EC5A22" w:rsidRPr="00A14BB8">
        <w:rPr>
          <w:sz w:val="22"/>
          <w:szCs w:val="22"/>
        </w:rPr>
        <w:t xml:space="preserve"> in</w:t>
      </w:r>
      <w:r w:rsidR="00E9135F" w:rsidRPr="00A14BB8">
        <w:rPr>
          <w:sz w:val="22"/>
          <w:szCs w:val="22"/>
        </w:rPr>
        <w:t xml:space="preserve"> red</w:t>
      </w:r>
      <w:r w:rsidR="00BB0ABB" w:rsidRPr="00A14BB8">
        <w:rPr>
          <w:sz w:val="22"/>
          <w:szCs w:val="22"/>
        </w:rPr>
        <w:t>.</w:t>
      </w:r>
      <w:bookmarkStart w:id="0" w:name="OLE_LINK1"/>
      <w:bookmarkStart w:id="1" w:name="OLE_LINK2"/>
    </w:p>
    <w:p w14:paraId="78BB5D04" w14:textId="46EC4B94" w:rsidR="00DF053F" w:rsidRPr="00A14BB8" w:rsidRDefault="00DF053F" w:rsidP="00335F21">
      <w:pPr>
        <w:spacing w:line="276" w:lineRule="auto"/>
        <w:jc w:val="both"/>
        <w:rPr>
          <w:sz w:val="22"/>
          <w:szCs w:val="22"/>
        </w:rPr>
      </w:pPr>
    </w:p>
    <w:p w14:paraId="0622D4C4" w14:textId="3420E3A7" w:rsidR="005273F6" w:rsidRPr="00A14BB8" w:rsidRDefault="00DF053F" w:rsidP="00BA6AF7">
      <w:pPr>
        <w:spacing w:after="240" w:line="276" w:lineRule="auto"/>
        <w:jc w:val="both"/>
        <w:rPr>
          <w:u w:val="single"/>
        </w:rPr>
      </w:pPr>
      <w:r w:rsidRPr="00A14BB8">
        <w:rPr>
          <w:u w:val="single"/>
        </w:rPr>
        <w:t>Referee 1</w:t>
      </w:r>
    </w:p>
    <w:tbl>
      <w:tblPr>
        <w:tblStyle w:val="GridTable4-Accent11"/>
        <w:tblW w:w="10477" w:type="dxa"/>
        <w:tblLook w:val="04A0" w:firstRow="1" w:lastRow="0" w:firstColumn="1" w:lastColumn="0" w:noHBand="0" w:noVBand="1"/>
      </w:tblPr>
      <w:tblGrid>
        <w:gridCol w:w="685"/>
        <w:gridCol w:w="4032"/>
        <w:gridCol w:w="5760"/>
      </w:tblGrid>
      <w:tr w:rsidR="00B10E80" w:rsidRPr="00A14BB8" w14:paraId="16C2C3B6" w14:textId="77777777" w:rsidTr="008D12E4">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685" w:type="dxa"/>
          </w:tcPr>
          <w:bookmarkEnd w:id="0"/>
          <w:bookmarkEnd w:id="1"/>
          <w:p w14:paraId="6FA5FFB2" w14:textId="3AE0FE1C" w:rsidR="00B10E80" w:rsidRPr="00A14BB8" w:rsidRDefault="00B10E80" w:rsidP="00A6558D">
            <w:pPr>
              <w:jc w:val="center"/>
              <w:rPr>
                <w:sz w:val="18"/>
                <w:szCs w:val="18"/>
              </w:rPr>
            </w:pPr>
            <w:r w:rsidRPr="00A14BB8">
              <w:rPr>
                <w:sz w:val="18"/>
                <w:szCs w:val="18"/>
              </w:rPr>
              <w:t>#</w:t>
            </w:r>
          </w:p>
        </w:tc>
        <w:tc>
          <w:tcPr>
            <w:tcW w:w="4032" w:type="dxa"/>
          </w:tcPr>
          <w:p w14:paraId="7221612F" w14:textId="0A516540" w:rsidR="00B10E80" w:rsidRPr="00A14BB8" w:rsidRDefault="00B10E80" w:rsidP="00A6558D">
            <w:pPr>
              <w:jc w:val="center"/>
              <w:cnfStyle w:val="100000000000" w:firstRow="1" w:lastRow="0" w:firstColumn="0" w:lastColumn="0" w:oddVBand="0" w:evenVBand="0" w:oddHBand="0" w:evenHBand="0" w:firstRowFirstColumn="0" w:firstRowLastColumn="0" w:lastRowFirstColumn="0" w:lastRowLastColumn="0"/>
              <w:rPr>
                <w:sz w:val="20"/>
                <w:szCs w:val="20"/>
              </w:rPr>
            </w:pPr>
            <w:r w:rsidRPr="00A14BB8">
              <w:rPr>
                <w:szCs w:val="20"/>
              </w:rPr>
              <w:t>Referee's Comment</w:t>
            </w:r>
          </w:p>
        </w:tc>
        <w:tc>
          <w:tcPr>
            <w:tcW w:w="5760" w:type="dxa"/>
          </w:tcPr>
          <w:p w14:paraId="059A4821" w14:textId="77777777" w:rsidR="00B10E80" w:rsidRPr="00A14BB8" w:rsidRDefault="00B10E80" w:rsidP="00FD5061">
            <w:pPr>
              <w:spacing w:after="120" w:line="276" w:lineRule="auto"/>
              <w:jc w:val="center"/>
              <w:cnfStyle w:val="100000000000" w:firstRow="1" w:lastRow="0" w:firstColumn="0" w:lastColumn="0" w:oddVBand="0" w:evenVBand="0" w:oddHBand="0" w:evenHBand="0" w:firstRowFirstColumn="0" w:firstRowLastColumn="0" w:lastRowFirstColumn="0" w:lastRowLastColumn="0"/>
            </w:pPr>
            <w:r w:rsidRPr="00A14BB8">
              <w:t>Authors' Answer</w:t>
            </w:r>
          </w:p>
        </w:tc>
      </w:tr>
      <w:tr w:rsidR="00B10E80" w:rsidRPr="00A14BB8" w14:paraId="7E98B697" w14:textId="77777777" w:rsidTr="000D049A">
        <w:trPr>
          <w:cnfStyle w:val="000000100000" w:firstRow="0" w:lastRow="0" w:firstColumn="0" w:lastColumn="0" w:oddVBand="0" w:evenVBand="0" w:oddHBand="1" w:evenHBand="0" w:firstRowFirstColumn="0" w:firstRowLastColumn="0" w:lastRowFirstColumn="0" w:lastRowLastColumn="0"/>
          <w:trHeight w:val="73"/>
        </w:trPr>
        <w:tc>
          <w:tcPr>
            <w:cnfStyle w:val="001000000000" w:firstRow="0" w:lastRow="0" w:firstColumn="1" w:lastColumn="0" w:oddVBand="0" w:evenVBand="0" w:oddHBand="0" w:evenHBand="0" w:firstRowFirstColumn="0" w:firstRowLastColumn="0" w:lastRowFirstColumn="0" w:lastRowLastColumn="0"/>
            <w:tcW w:w="685" w:type="dxa"/>
          </w:tcPr>
          <w:p w14:paraId="20F1A800" w14:textId="46E05CB1" w:rsidR="00B10E80" w:rsidRPr="00A14BB8" w:rsidRDefault="00B10E80" w:rsidP="00410B55">
            <w:pPr>
              <w:jc w:val="both"/>
              <w:rPr>
                <w:sz w:val="18"/>
                <w:szCs w:val="18"/>
              </w:rPr>
            </w:pPr>
            <w:r w:rsidRPr="00A14BB8">
              <w:rPr>
                <w:sz w:val="18"/>
                <w:szCs w:val="18"/>
              </w:rPr>
              <w:t>1.</w:t>
            </w:r>
            <w:r w:rsidR="004C2A83" w:rsidRPr="00A14BB8">
              <w:rPr>
                <w:sz w:val="18"/>
                <w:szCs w:val="18"/>
              </w:rPr>
              <w:t>1</w:t>
            </w:r>
          </w:p>
        </w:tc>
        <w:tc>
          <w:tcPr>
            <w:tcW w:w="4032" w:type="dxa"/>
          </w:tcPr>
          <w:p w14:paraId="148E6F3E" w14:textId="78754B61" w:rsidR="00B12189" w:rsidRPr="004E39EF" w:rsidRDefault="00554D46" w:rsidP="00854B14">
            <w:pPr>
              <w:spacing w:before="120" w:after="120"/>
              <w:jc w:val="both"/>
              <w:cnfStyle w:val="000000100000" w:firstRow="0" w:lastRow="0" w:firstColumn="0" w:lastColumn="0" w:oddVBand="0" w:evenVBand="0" w:oddHBand="1" w:evenHBand="0" w:firstRowFirstColumn="0" w:firstRowLastColumn="0" w:lastRowFirstColumn="0" w:lastRowLastColumn="0"/>
              <w:rPr>
                <w:sz w:val="22"/>
                <w:szCs w:val="22"/>
              </w:rPr>
            </w:pPr>
            <w:r w:rsidRPr="004E39EF">
              <w:rPr>
                <w:sz w:val="22"/>
                <w:szCs w:val="22"/>
              </w:rPr>
              <w:t>This is an interesting, well written paper of limited but well defined scope.</w:t>
            </w:r>
          </w:p>
        </w:tc>
        <w:tc>
          <w:tcPr>
            <w:tcW w:w="5760" w:type="dxa"/>
            <w:shd w:val="clear" w:color="auto" w:fill="auto"/>
          </w:tcPr>
          <w:p w14:paraId="374E54D3" w14:textId="5F0BA9C4" w:rsidR="00E51753" w:rsidRPr="004E39EF" w:rsidRDefault="00842363" w:rsidP="00854B14">
            <w:pPr>
              <w:spacing w:before="120" w:after="120"/>
              <w:jc w:val="both"/>
              <w:cnfStyle w:val="000000100000" w:firstRow="0" w:lastRow="0" w:firstColumn="0" w:lastColumn="0" w:oddVBand="0" w:evenVBand="0" w:oddHBand="1" w:evenHBand="0" w:firstRowFirstColumn="0" w:firstRowLastColumn="0" w:lastRowFirstColumn="0" w:lastRowLastColumn="0"/>
              <w:rPr>
                <w:sz w:val="22"/>
                <w:szCs w:val="22"/>
              </w:rPr>
            </w:pPr>
            <w:r w:rsidRPr="004E39EF">
              <w:rPr>
                <w:sz w:val="22"/>
                <w:szCs w:val="22"/>
              </w:rPr>
              <w:t xml:space="preserve">Thank you for this comment. The authors look forward to </w:t>
            </w:r>
            <w:r w:rsidR="00D00043" w:rsidRPr="004E39EF">
              <w:rPr>
                <w:sz w:val="22"/>
                <w:szCs w:val="22"/>
              </w:rPr>
              <w:t>building upon this study in follow-on works that feature physics-based analysis of the</w:t>
            </w:r>
            <w:r w:rsidR="008531A1" w:rsidRPr="004E39EF">
              <w:rPr>
                <w:sz w:val="22"/>
                <w:szCs w:val="22"/>
              </w:rPr>
              <w:t xml:space="preserve"> experimental</w:t>
            </w:r>
            <w:r w:rsidR="007A0646" w:rsidRPr="004E39EF">
              <w:rPr>
                <w:sz w:val="22"/>
                <w:szCs w:val="22"/>
              </w:rPr>
              <w:t xml:space="preserve"> turbulence</w:t>
            </w:r>
            <w:r w:rsidR="00D00043" w:rsidRPr="004E39EF">
              <w:rPr>
                <w:sz w:val="22"/>
                <w:szCs w:val="22"/>
              </w:rPr>
              <w:t xml:space="preserve"> database constructed </w:t>
            </w:r>
            <w:r w:rsidR="003562DA" w:rsidRPr="004E39EF">
              <w:rPr>
                <w:sz w:val="22"/>
                <w:szCs w:val="22"/>
              </w:rPr>
              <w:t xml:space="preserve">using the methods detailed </w:t>
            </w:r>
            <w:r w:rsidR="00D00043" w:rsidRPr="004E39EF">
              <w:rPr>
                <w:sz w:val="22"/>
                <w:szCs w:val="22"/>
              </w:rPr>
              <w:t>in the current work.</w:t>
            </w:r>
          </w:p>
        </w:tc>
      </w:tr>
      <w:tr w:rsidR="004C2A83" w:rsidRPr="00A14BB8" w14:paraId="19CA8800" w14:textId="77777777" w:rsidTr="008D12E4">
        <w:trPr>
          <w:trHeight w:val="280"/>
        </w:trPr>
        <w:tc>
          <w:tcPr>
            <w:cnfStyle w:val="001000000000" w:firstRow="0" w:lastRow="0" w:firstColumn="1" w:lastColumn="0" w:oddVBand="0" w:evenVBand="0" w:oddHBand="0" w:evenHBand="0" w:firstRowFirstColumn="0" w:firstRowLastColumn="0" w:lastRowFirstColumn="0" w:lastRowLastColumn="0"/>
            <w:tcW w:w="685" w:type="dxa"/>
          </w:tcPr>
          <w:p w14:paraId="0CFB97B2" w14:textId="3FD0E5F2" w:rsidR="004C2A83" w:rsidRPr="00A14BB8" w:rsidRDefault="004C2A83" w:rsidP="00410B55">
            <w:pPr>
              <w:jc w:val="both"/>
              <w:rPr>
                <w:sz w:val="18"/>
                <w:szCs w:val="18"/>
              </w:rPr>
            </w:pPr>
            <w:r w:rsidRPr="00A14BB8">
              <w:rPr>
                <w:sz w:val="18"/>
                <w:szCs w:val="18"/>
              </w:rPr>
              <w:t>1.2</w:t>
            </w:r>
          </w:p>
        </w:tc>
        <w:tc>
          <w:tcPr>
            <w:tcW w:w="4032" w:type="dxa"/>
          </w:tcPr>
          <w:p w14:paraId="2AF739DE" w14:textId="660EFFD6" w:rsidR="004C2A83" w:rsidRPr="004E39EF" w:rsidRDefault="00DB323F" w:rsidP="00854B14">
            <w:pPr>
              <w:spacing w:before="120" w:after="120"/>
              <w:jc w:val="both"/>
              <w:cnfStyle w:val="000000000000" w:firstRow="0" w:lastRow="0" w:firstColumn="0" w:lastColumn="0" w:oddVBand="0" w:evenVBand="0" w:oddHBand="0" w:evenHBand="0" w:firstRowFirstColumn="0" w:firstRowLastColumn="0" w:lastRowFirstColumn="0" w:lastRowLastColumn="0"/>
              <w:rPr>
                <w:sz w:val="22"/>
                <w:szCs w:val="22"/>
              </w:rPr>
            </w:pPr>
            <w:r w:rsidRPr="004E39EF">
              <w:rPr>
                <w:sz w:val="22"/>
                <w:szCs w:val="22"/>
              </w:rPr>
              <w:t>The author may wish to think about whether only those channels in cut-off should be excluded or channels which are within some percentage of the cutoff frequency to avoid refraction effects disrupting the interpretation.</w:t>
            </w:r>
          </w:p>
        </w:tc>
        <w:tc>
          <w:tcPr>
            <w:tcW w:w="5760" w:type="dxa"/>
          </w:tcPr>
          <w:p w14:paraId="6E49A11D" w14:textId="5F2B1D84" w:rsidR="00AE0D15" w:rsidRDefault="00802793" w:rsidP="00854B14">
            <w:pPr>
              <w:spacing w:before="120" w:after="120"/>
              <w:jc w:val="both"/>
              <w:cnfStyle w:val="000000000000" w:firstRow="0" w:lastRow="0" w:firstColumn="0" w:lastColumn="0" w:oddVBand="0" w:evenVBand="0" w:oddHBand="0" w:evenHBand="0" w:firstRowFirstColumn="0" w:firstRowLastColumn="0" w:lastRowFirstColumn="0" w:lastRowLastColumn="0"/>
              <w:rPr>
                <w:sz w:val="22"/>
                <w:szCs w:val="22"/>
              </w:rPr>
            </w:pPr>
            <w:r w:rsidRPr="004E39EF">
              <w:rPr>
                <w:sz w:val="22"/>
                <w:szCs w:val="22"/>
              </w:rPr>
              <w:t>Thank you for this insight</w:t>
            </w:r>
            <w:r w:rsidR="005B0C57">
              <w:rPr>
                <w:sz w:val="22"/>
                <w:szCs w:val="22"/>
              </w:rPr>
              <w:t>ful comment</w:t>
            </w:r>
            <w:r w:rsidRPr="004E39EF">
              <w:rPr>
                <w:sz w:val="22"/>
                <w:szCs w:val="22"/>
              </w:rPr>
              <w:t xml:space="preserve">. </w:t>
            </w:r>
            <w:r w:rsidR="005D7129">
              <w:rPr>
                <w:sz w:val="22"/>
                <w:szCs w:val="22"/>
              </w:rPr>
              <w:t xml:space="preserve">The authors recognize the importance of </w:t>
            </w:r>
            <w:r w:rsidR="003D182E">
              <w:rPr>
                <w:sz w:val="22"/>
                <w:szCs w:val="22"/>
              </w:rPr>
              <w:t>making</w:t>
            </w:r>
            <w:r w:rsidR="005D7129">
              <w:rPr>
                <w:sz w:val="22"/>
                <w:szCs w:val="22"/>
              </w:rPr>
              <w:t xml:space="preserve"> CECE measurements far from cutoff</w:t>
            </w:r>
            <w:r w:rsidR="00ED4EFC">
              <w:rPr>
                <w:sz w:val="22"/>
                <w:szCs w:val="22"/>
              </w:rPr>
              <w:t xml:space="preserve"> and have </w:t>
            </w:r>
            <w:r w:rsidR="00EA02C3">
              <w:rPr>
                <w:sz w:val="22"/>
                <w:szCs w:val="22"/>
              </w:rPr>
              <w:t xml:space="preserve">updated the implementation of the automated analysis </w:t>
            </w:r>
            <w:r w:rsidR="00711386">
              <w:rPr>
                <w:sz w:val="22"/>
                <w:szCs w:val="22"/>
              </w:rPr>
              <w:t>and revised the</w:t>
            </w:r>
            <w:r w:rsidR="00EA02C3">
              <w:rPr>
                <w:sz w:val="22"/>
                <w:szCs w:val="22"/>
              </w:rPr>
              <w:t xml:space="preserve"> paper to take this better into account</w:t>
            </w:r>
            <w:r w:rsidR="005D7129">
              <w:rPr>
                <w:sz w:val="22"/>
                <w:szCs w:val="22"/>
              </w:rPr>
              <w:t xml:space="preserve">. </w:t>
            </w:r>
            <w:r w:rsidR="00BE5D81">
              <w:rPr>
                <w:sz w:val="22"/>
                <w:szCs w:val="22"/>
              </w:rPr>
              <w:t>W</w:t>
            </w:r>
            <w:r w:rsidR="005D7129">
              <w:rPr>
                <w:sz w:val="22"/>
                <w:szCs w:val="22"/>
              </w:rPr>
              <w:t>hile the implementation of the automated analysis detailed in this paper did include a fixed 5 GHz</w:t>
            </w:r>
            <w:r w:rsidR="004137B9">
              <w:rPr>
                <w:sz w:val="22"/>
                <w:szCs w:val="22"/>
              </w:rPr>
              <w:t xml:space="preserve"> </w:t>
            </w:r>
            <w:r w:rsidR="00430D59">
              <w:rPr>
                <w:sz w:val="22"/>
                <w:szCs w:val="22"/>
              </w:rPr>
              <w:t>conservative</w:t>
            </w:r>
            <w:r w:rsidR="00335E09">
              <w:rPr>
                <w:sz w:val="22"/>
                <w:szCs w:val="22"/>
              </w:rPr>
              <w:t xml:space="preserve"> </w:t>
            </w:r>
            <w:r w:rsidR="007451AD">
              <w:rPr>
                <w:sz w:val="22"/>
                <w:szCs w:val="22"/>
              </w:rPr>
              <w:t>buffer</w:t>
            </w:r>
            <w:r w:rsidR="005D7129">
              <w:rPr>
                <w:sz w:val="22"/>
                <w:szCs w:val="22"/>
              </w:rPr>
              <w:t xml:space="preserve"> </w:t>
            </w:r>
            <w:r w:rsidR="00335E09">
              <w:rPr>
                <w:sz w:val="22"/>
                <w:szCs w:val="22"/>
              </w:rPr>
              <w:t>above the right-hand cutoff frequency</w:t>
            </w:r>
            <w:r w:rsidR="005D7129">
              <w:rPr>
                <w:sz w:val="22"/>
                <w:szCs w:val="22"/>
              </w:rPr>
              <w:t>, the 5 GHz buffer was</w:t>
            </w:r>
            <w:r w:rsidR="005B770E">
              <w:rPr>
                <w:sz w:val="22"/>
                <w:szCs w:val="22"/>
              </w:rPr>
              <w:t xml:space="preserve"> </w:t>
            </w:r>
            <w:r w:rsidR="008A20C1">
              <w:rPr>
                <w:sz w:val="22"/>
                <w:szCs w:val="22"/>
              </w:rPr>
              <w:t>an estimate</w:t>
            </w:r>
            <w:r w:rsidR="00F146AE">
              <w:rPr>
                <w:sz w:val="22"/>
                <w:szCs w:val="22"/>
              </w:rPr>
              <w:t xml:space="preserve">, </w:t>
            </w:r>
            <w:r w:rsidR="007D1773">
              <w:rPr>
                <w:sz w:val="22"/>
                <w:szCs w:val="22"/>
              </w:rPr>
              <w:t xml:space="preserve">it </w:t>
            </w:r>
            <w:r w:rsidR="005B770E">
              <w:rPr>
                <w:sz w:val="22"/>
                <w:szCs w:val="22"/>
              </w:rPr>
              <w:t>was</w:t>
            </w:r>
            <w:r w:rsidR="005D7129">
              <w:rPr>
                <w:sz w:val="22"/>
                <w:szCs w:val="22"/>
              </w:rPr>
              <w:t xml:space="preserve"> </w:t>
            </w:r>
            <w:r w:rsidR="00635559">
              <w:rPr>
                <w:sz w:val="22"/>
                <w:szCs w:val="22"/>
              </w:rPr>
              <w:t>not percentage-based</w:t>
            </w:r>
            <w:r w:rsidR="00F146AE">
              <w:rPr>
                <w:sz w:val="22"/>
                <w:szCs w:val="22"/>
              </w:rPr>
              <w:t>,</w:t>
            </w:r>
            <w:r w:rsidR="005D7129">
              <w:rPr>
                <w:sz w:val="22"/>
                <w:szCs w:val="22"/>
              </w:rPr>
              <w:t xml:space="preserve"> and</w:t>
            </w:r>
            <w:r w:rsidR="00F146AE">
              <w:rPr>
                <w:sz w:val="22"/>
                <w:szCs w:val="22"/>
              </w:rPr>
              <w:t xml:space="preserve"> </w:t>
            </w:r>
            <w:r w:rsidR="005D7129">
              <w:rPr>
                <w:sz w:val="22"/>
                <w:szCs w:val="22"/>
              </w:rPr>
              <w:t>in any case this point was not communicated in the previous version of the paper.</w:t>
            </w:r>
          </w:p>
          <w:p w14:paraId="799BAF19" w14:textId="40501BD6" w:rsidR="004E39EF" w:rsidRPr="006424D6" w:rsidRDefault="000E41BD" w:rsidP="006424D6">
            <w:pPr>
              <w:pStyle w:val="Paragraph"/>
              <w:ind w:firstLine="0"/>
              <w:cnfStyle w:val="000000000000" w:firstRow="0" w:lastRow="0" w:firstColumn="0" w:lastColumn="0" w:oddVBand="0" w:evenVBand="0" w:oddHBand="0" w:evenHBand="0" w:firstRowFirstColumn="0" w:firstRowLastColumn="0" w:lastRowFirstColumn="0" w:lastRowLastColumn="0"/>
              <w:rPr>
                <w:color w:val="FF0000"/>
              </w:rPr>
            </w:pPr>
            <w:r w:rsidRPr="004E39EF">
              <w:rPr>
                <w:rFonts w:ascii="Times New Roman" w:hAnsi="Times New Roman" w:cs="Times New Roman"/>
                <w:sz w:val="22"/>
                <w:szCs w:val="22"/>
              </w:rPr>
              <w:t xml:space="preserve">The authors have made the following </w:t>
            </w:r>
            <w:r w:rsidR="00AE0D15">
              <w:rPr>
                <w:sz w:val="22"/>
                <w:szCs w:val="22"/>
              </w:rPr>
              <w:t>changes</w:t>
            </w:r>
            <w:r w:rsidRPr="004E39EF">
              <w:rPr>
                <w:rFonts w:ascii="Times New Roman" w:hAnsi="Times New Roman" w:cs="Times New Roman"/>
                <w:sz w:val="22"/>
                <w:szCs w:val="22"/>
              </w:rPr>
              <w:t xml:space="preserve"> to</w:t>
            </w:r>
            <w:r w:rsidR="00235CC3" w:rsidRPr="004E39EF">
              <w:rPr>
                <w:rFonts w:ascii="Times New Roman" w:hAnsi="Times New Roman" w:cs="Times New Roman"/>
                <w:sz w:val="22"/>
                <w:szCs w:val="22"/>
              </w:rPr>
              <w:t xml:space="preserve"> the text in</w:t>
            </w:r>
            <w:r w:rsidRPr="004E39EF">
              <w:rPr>
                <w:rFonts w:ascii="Times New Roman" w:hAnsi="Times New Roman" w:cs="Times New Roman"/>
                <w:sz w:val="22"/>
                <w:szCs w:val="22"/>
              </w:rPr>
              <w:t xml:space="preserve"> section 2.2</w:t>
            </w:r>
            <w:r w:rsidR="00AE0D15">
              <w:rPr>
                <w:sz w:val="22"/>
                <w:szCs w:val="22"/>
              </w:rPr>
              <w:t xml:space="preserve">. The sentence </w:t>
            </w:r>
            <w:r w:rsidR="00A06AC0" w:rsidRPr="00AE0D15">
              <w:rPr>
                <w:sz w:val="22"/>
                <w:szCs w:val="22"/>
              </w:rPr>
              <w:t>“</w:t>
            </w:r>
            <w:r w:rsidR="00A06AC0" w:rsidRPr="00AE0D15">
              <w:rPr>
                <w:sz w:val="22"/>
                <w:szCs w:val="22"/>
              </w:rPr>
              <w:t>CECE channels that are not cutoff, as shown in Figure 3, are included for further analysis while those channels that are cutoff are removed from the analysis process.</w:t>
            </w:r>
            <w:r w:rsidR="00A06AC0" w:rsidRPr="00AE0D15">
              <w:rPr>
                <w:sz w:val="22"/>
                <w:szCs w:val="22"/>
              </w:rPr>
              <w:t xml:space="preserve">” </w:t>
            </w:r>
            <w:r w:rsidR="00AE0D15" w:rsidRPr="00AE0D15">
              <w:rPr>
                <w:sz w:val="22"/>
                <w:szCs w:val="22"/>
              </w:rPr>
              <w:t>h</w:t>
            </w:r>
            <w:r w:rsidR="00A06AC0" w:rsidRPr="00AE0D15">
              <w:rPr>
                <w:sz w:val="22"/>
                <w:szCs w:val="22"/>
              </w:rPr>
              <w:t>as been replaced by:</w:t>
            </w:r>
            <w:r w:rsidR="00A06AC0">
              <w:t xml:space="preserve"> </w:t>
            </w:r>
            <w:r w:rsidRPr="00B002CB">
              <w:rPr>
                <w:rFonts w:ascii="Times New Roman" w:hAnsi="Times New Roman" w:cs="Times New Roman"/>
                <w:color w:val="FF0000"/>
                <w:sz w:val="22"/>
                <w:szCs w:val="22"/>
              </w:rPr>
              <w:t>Additionally, the analysis identifies CECE channels that have corresponding second harmonic electron cyclotron frequencies that are less than 105.5% of the</w:t>
            </w:r>
            <w:r w:rsidR="000F6923">
              <w:rPr>
                <w:rFonts w:ascii="Times New Roman" w:hAnsi="Times New Roman" w:cs="Times New Roman"/>
                <w:color w:val="FF0000"/>
                <w:sz w:val="22"/>
                <w:szCs w:val="22"/>
              </w:rPr>
              <w:t xml:space="preserve"> respective</w:t>
            </w:r>
            <w:r w:rsidRPr="00B002CB">
              <w:rPr>
                <w:rFonts w:ascii="Times New Roman" w:hAnsi="Times New Roman" w:cs="Times New Roman"/>
                <w:color w:val="FF0000"/>
                <w:sz w:val="22"/>
                <w:szCs w:val="22"/>
              </w:rPr>
              <w:t xml:space="preserve"> right-hand cutoff frequenc</w:t>
            </w:r>
            <w:r w:rsidR="000F6923">
              <w:rPr>
                <w:rFonts w:ascii="Times New Roman" w:hAnsi="Times New Roman" w:cs="Times New Roman"/>
                <w:color w:val="FF0000"/>
                <w:sz w:val="22"/>
                <w:szCs w:val="22"/>
              </w:rPr>
              <w:t>ies</w:t>
            </w:r>
            <w:r w:rsidRPr="00B002CB">
              <w:rPr>
                <w:rFonts w:ascii="Times New Roman" w:hAnsi="Times New Roman" w:cs="Times New Roman"/>
                <w:color w:val="FF0000"/>
                <w:sz w:val="22"/>
                <w:szCs w:val="22"/>
              </w:rPr>
              <w:t xml:space="preserve">. </w:t>
            </w:r>
            <w:r w:rsidR="006424D6" w:rsidRPr="006424D6">
              <w:rPr>
                <w:rFonts w:ascii="Times New Roman" w:hAnsi="Times New Roman" w:cs="Times New Roman"/>
                <w:color w:val="FF0000"/>
                <w:sz w:val="22"/>
                <w:szCs w:val="22"/>
              </w:rPr>
              <w:t xml:space="preserve">This 105.5% frequency </w:t>
            </w:r>
            <w:r w:rsidR="00184137">
              <w:rPr>
                <w:rFonts w:ascii="Times New Roman" w:hAnsi="Times New Roman" w:cs="Times New Roman"/>
                <w:color w:val="FF0000"/>
                <w:sz w:val="22"/>
                <w:szCs w:val="22"/>
              </w:rPr>
              <w:t>threshold</w:t>
            </w:r>
            <w:r w:rsidR="006424D6" w:rsidRPr="006424D6">
              <w:rPr>
                <w:rFonts w:ascii="Times New Roman" w:hAnsi="Times New Roman" w:cs="Times New Roman"/>
                <w:color w:val="FF0000"/>
                <w:sz w:val="22"/>
                <w:szCs w:val="22"/>
              </w:rPr>
              <w:t xml:space="preserve"> is more conservative as a limit than the right-hand cutoff frequency and indicates the </w:t>
            </w:r>
            <w:r w:rsidR="0026377A">
              <w:rPr>
                <w:rFonts w:ascii="Times New Roman" w:hAnsi="Times New Roman" w:cs="Times New Roman"/>
                <w:color w:val="FF0000"/>
                <w:sz w:val="22"/>
                <w:szCs w:val="22"/>
              </w:rPr>
              <w:t xml:space="preserve">level below </w:t>
            </w:r>
            <w:r w:rsidR="006424D6" w:rsidRPr="006424D6">
              <w:rPr>
                <w:rFonts w:ascii="Times New Roman" w:hAnsi="Times New Roman" w:cs="Times New Roman"/>
                <w:color w:val="FF0000"/>
                <w:sz w:val="22"/>
                <w:szCs w:val="22"/>
              </w:rPr>
              <w:t xml:space="preserve">which </w:t>
            </w:r>
            <w:r w:rsidR="007C5EFD">
              <w:rPr>
                <w:rFonts w:ascii="Times New Roman" w:hAnsi="Times New Roman" w:cs="Times New Roman"/>
                <w:color w:val="FF0000"/>
                <w:sz w:val="22"/>
                <w:szCs w:val="22"/>
              </w:rPr>
              <w:t>refraction</w:t>
            </w:r>
            <w:r w:rsidR="006424D6" w:rsidRPr="006424D6">
              <w:rPr>
                <w:rFonts w:ascii="Times New Roman" w:hAnsi="Times New Roman" w:cs="Times New Roman"/>
                <w:color w:val="FF0000"/>
                <w:sz w:val="22"/>
                <w:szCs w:val="22"/>
              </w:rPr>
              <w:t xml:space="preserve"> </w:t>
            </w:r>
            <w:r w:rsidR="00656FF6">
              <w:rPr>
                <w:rFonts w:ascii="Times New Roman" w:hAnsi="Times New Roman" w:cs="Times New Roman"/>
                <w:color w:val="FF0000"/>
                <w:sz w:val="22"/>
                <w:szCs w:val="22"/>
              </w:rPr>
              <w:t>has</w:t>
            </w:r>
            <w:r w:rsidR="006424D6" w:rsidRPr="006424D6">
              <w:rPr>
                <w:rFonts w:ascii="Times New Roman" w:hAnsi="Times New Roman" w:cs="Times New Roman"/>
                <w:color w:val="FF0000"/>
                <w:sz w:val="22"/>
                <w:szCs w:val="22"/>
              </w:rPr>
              <w:t xml:space="preserve"> a non-negligible effect on ECE measurements.</w:t>
            </w:r>
            <w:r w:rsidR="00FD58CC">
              <w:rPr>
                <w:rFonts w:ascii="Times New Roman" w:hAnsi="Times New Roman" w:cs="Times New Roman"/>
                <w:color w:val="FF0000"/>
                <w:sz w:val="22"/>
                <w:szCs w:val="22"/>
              </w:rPr>
              <w:t xml:space="preserve"> </w:t>
            </w:r>
            <w:r w:rsidR="006424D6" w:rsidRPr="006424D6">
              <w:rPr>
                <w:rFonts w:ascii="Times New Roman" w:hAnsi="Times New Roman" w:cs="Times New Roman"/>
                <w:color w:val="FF0000"/>
                <w:sz w:val="22"/>
                <w:szCs w:val="22"/>
              </w:rPr>
              <w:t xml:space="preserve">This limit corresponds to an equivalent threshold, determined based on ray tracing studies, which requires that the local electron density be less than 85% of the cutoff density in order for </w:t>
            </w:r>
            <w:r w:rsidR="00AF3866">
              <w:rPr>
                <w:rFonts w:ascii="Times New Roman" w:hAnsi="Times New Roman" w:cs="Times New Roman"/>
                <w:color w:val="FF0000"/>
                <w:sz w:val="22"/>
                <w:szCs w:val="22"/>
              </w:rPr>
              <w:t>refraction</w:t>
            </w:r>
            <w:r w:rsidR="006424D6" w:rsidRPr="006424D6">
              <w:rPr>
                <w:rFonts w:ascii="Times New Roman" w:hAnsi="Times New Roman" w:cs="Times New Roman"/>
                <w:color w:val="FF0000"/>
                <w:sz w:val="22"/>
                <w:szCs w:val="22"/>
              </w:rPr>
              <w:t xml:space="preserve"> to have a negligible effect on ECE measurements [19-21]. CECE channels whose second harmonic electron cyclotron frequencies are greater than this limit, as shown in Figure 3, are included for further analysis while those channels with lower frequencies are removed from the analysis process.</w:t>
            </w:r>
            <w:r w:rsidR="006424D6" w:rsidRPr="006424D6">
              <w:rPr>
                <w:color w:val="FF0000"/>
              </w:rPr>
              <w:t xml:space="preserve"> </w:t>
            </w:r>
          </w:p>
          <w:p w14:paraId="697D2AAF" w14:textId="313CD5FB" w:rsidR="004E39EF" w:rsidRPr="004E39EF" w:rsidRDefault="004E39EF" w:rsidP="00854B14">
            <w:pPr>
              <w:pStyle w:val="NormalWeb"/>
              <w:shd w:val="clear" w:color="auto" w:fill="FFFFFF"/>
              <w:jc w:val="both"/>
              <w:cnfStyle w:val="000000000000" w:firstRow="0" w:lastRow="0" w:firstColumn="0" w:lastColumn="0" w:oddVBand="0" w:evenVBand="0" w:oddHBand="0" w:evenHBand="0" w:firstRowFirstColumn="0" w:firstRowLastColumn="0" w:lastRowFirstColumn="0" w:lastRowLastColumn="0"/>
              <w:rPr>
                <w:sz w:val="22"/>
                <w:szCs w:val="22"/>
              </w:rPr>
            </w:pPr>
            <w:r w:rsidRPr="004E39EF">
              <w:rPr>
                <w:sz w:val="22"/>
                <w:szCs w:val="22"/>
              </w:rPr>
              <w:lastRenderedPageBreak/>
              <w:t>References 19-21 were added</w:t>
            </w:r>
            <w:r w:rsidR="00A37C28">
              <w:rPr>
                <w:sz w:val="22"/>
                <w:szCs w:val="22"/>
              </w:rPr>
              <w:t xml:space="preserve"> to the References section</w:t>
            </w:r>
            <w:r w:rsidRPr="004E39EF">
              <w:rPr>
                <w:sz w:val="22"/>
                <w:szCs w:val="22"/>
              </w:rPr>
              <w:t>.</w:t>
            </w:r>
          </w:p>
          <w:p w14:paraId="2C2C276D" w14:textId="6304CF1F" w:rsidR="004E39EF" w:rsidRDefault="004E39EF" w:rsidP="00854B14">
            <w:pPr>
              <w:pStyle w:val="NormalWeb"/>
              <w:shd w:val="clear" w:color="auto" w:fill="FFFFFF"/>
              <w:jc w:val="both"/>
              <w:cnfStyle w:val="000000000000" w:firstRow="0" w:lastRow="0" w:firstColumn="0" w:lastColumn="0" w:oddVBand="0" w:evenVBand="0" w:oddHBand="0" w:evenHBand="0" w:firstRowFirstColumn="0" w:firstRowLastColumn="0" w:lastRowFirstColumn="0" w:lastRowLastColumn="0"/>
              <w:rPr>
                <w:sz w:val="22"/>
                <w:szCs w:val="22"/>
              </w:rPr>
            </w:pPr>
            <w:r w:rsidRPr="004E39EF">
              <w:rPr>
                <w:sz w:val="22"/>
                <w:szCs w:val="22"/>
              </w:rPr>
              <w:t>Reference 19</w:t>
            </w:r>
            <w:r w:rsidR="005A5BEE">
              <w:rPr>
                <w:sz w:val="22"/>
                <w:szCs w:val="22"/>
              </w:rPr>
              <w:t xml:space="preserve"> is as follows</w:t>
            </w:r>
            <w:r w:rsidRPr="004E39EF">
              <w:rPr>
                <w:sz w:val="22"/>
                <w:szCs w:val="22"/>
              </w:rPr>
              <w:t>:</w:t>
            </w:r>
          </w:p>
          <w:p w14:paraId="20E97D7D" w14:textId="0F115DDC" w:rsidR="00A37C28" w:rsidRPr="00A37C28" w:rsidRDefault="00A37C28" w:rsidP="00A37C28">
            <w:pPr>
              <w:pStyle w:val="NormalWeb"/>
              <w:shd w:val="clear" w:color="auto" w:fill="FFFFFF"/>
              <w:cnfStyle w:val="000000000000" w:firstRow="0" w:lastRow="0" w:firstColumn="0" w:lastColumn="0" w:oddVBand="0" w:evenVBand="0" w:oddHBand="0" w:evenHBand="0" w:firstRowFirstColumn="0" w:firstRowLastColumn="0" w:lastRowFirstColumn="0" w:lastRowLastColumn="0"/>
              <w:rPr>
                <w:color w:val="FF0000"/>
              </w:rPr>
            </w:pPr>
            <w:r w:rsidRPr="00A37C28">
              <w:rPr>
                <w:rFonts w:ascii="TimesNewRomanPSMT" w:hAnsi="TimesNewRomanPSMT"/>
                <w:color w:val="FF0000"/>
                <w:sz w:val="20"/>
                <w:szCs w:val="20"/>
              </w:rPr>
              <w:t xml:space="preserve">A.E. White, P. Phillips, D.G. Whyte, A.E. Hubbard, C. Sung, J.W. Hughes, A. Dominguez, J. Terry, I. Cziegler, Nucl. Fusion </w:t>
            </w:r>
            <w:r w:rsidRPr="00A37C28">
              <w:rPr>
                <w:rFonts w:ascii="TimesNewRomanPS" w:hAnsi="TimesNewRomanPS"/>
                <w:b/>
                <w:bCs/>
                <w:color w:val="FF0000"/>
                <w:sz w:val="20"/>
                <w:szCs w:val="20"/>
              </w:rPr>
              <w:t>51</w:t>
            </w:r>
            <w:r w:rsidRPr="00A37C28">
              <w:rPr>
                <w:rFonts w:ascii="TimesNewRomanPSMT" w:hAnsi="TimesNewRomanPSMT"/>
                <w:color w:val="FF0000"/>
                <w:sz w:val="20"/>
                <w:szCs w:val="20"/>
              </w:rPr>
              <w:t xml:space="preserve">, 113005 (2011) </w:t>
            </w:r>
          </w:p>
          <w:p w14:paraId="45FCB35F" w14:textId="048B686D" w:rsidR="004E39EF" w:rsidRDefault="004E39EF" w:rsidP="00854B14">
            <w:pPr>
              <w:pStyle w:val="NormalWeb"/>
              <w:shd w:val="clear" w:color="auto" w:fill="FFFFFF"/>
              <w:jc w:val="both"/>
              <w:cnfStyle w:val="000000000000" w:firstRow="0" w:lastRow="0" w:firstColumn="0" w:lastColumn="0" w:oddVBand="0" w:evenVBand="0" w:oddHBand="0" w:evenHBand="0" w:firstRowFirstColumn="0" w:firstRowLastColumn="0" w:lastRowFirstColumn="0" w:lastRowLastColumn="0"/>
              <w:rPr>
                <w:sz w:val="22"/>
                <w:szCs w:val="22"/>
              </w:rPr>
            </w:pPr>
            <w:r w:rsidRPr="004E39EF">
              <w:rPr>
                <w:sz w:val="22"/>
                <w:szCs w:val="22"/>
              </w:rPr>
              <w:t>Reference 20</w:t>
            </w:r>
            <w:r w:rsidR="005A5BEE">
              <w:rPr>
                <w:sz w:val="22"/>
                <w:szCs w:val="22"/>
              </w:rPr>
              <w:t xml:space="preserve"> is as follows</w:t>
            </w:r>
            <w:r w:rsidRPr="004E39EF">
              <w:rPr>
                <w:sz w:val="22"/>
                <w:szCs w:val="22"/>
              </w:rPr>
              <w:t>:</w:t>
            </w:r>
          </w:p>
          <w:p w14:paraId="4D09AB96" w14:textId="109DEAD0" w:rsidR="00A37C28" w:rsidRPr="00A37C28" w:rsidRDefault="00A37C28" w:rsidP="00A37C28">
            <w:pPr>
              <w:pStyle w:val="NormalWeb"/>
              <w:shd w:val="clear" w:color="auto" w:fill="FFFFFF"/>
              <w:cnfStyle w:val="000000000000" w:firstRow="0" w:lastRow="0" w:firstColumn="0" w:lastColumn="0" w:oddVBand="0" w:evenVBand="0" w:oddHBand="0" w:evenHBand="0" w:firstRowFirstColumn="0" w:firstRowLastColumn="0" w:lastRowFirstColumn="0" w:lastRowLastColumn="0"/>
              <w:rPr>
                <w:color w:val="FF0000"/>
              </w:rPr>
            </w:pPr>
            <w:r w:rsidRPr="00A37C28">
              <w:rPr>
                <w:rFonts w:ascii="TimesNewRomanPSMT" w:hAnsi="TimesNewRomanPSMT"/>
                <w:color w:val="FF0000"/>
                <w:sz w:val="20"/>
                <w:szCs w:val="20"/>
              </w:rPr>
              <w:t xml:space="preserve">A.E. White, L. Schmitz, W.A. Peebles, T.A. Carter, T.L. Rhodes. E.J. Doyle, P.A. Gourdain, J.C. Hillesheim, G. Wang, C. Holland, G.R. Tynan, M.E. Austin, G.R. McKee, M.W. Shafer, K.H. Burrell, J. Candy, J.C. DeBoo, R. Prater, G.M. Staebler, R.E. Waltz, M.A. Makowski, Rev. Sci. Instrum. </w:t>
            </w:r>
            <w:r w:rsidRPr="00A37C28">
              <w:rPr>
                <w:rFonts w:ascii="TimesNewRomanPS" w:hAnsi="TimesNewRomanPS"/>
                <w:b/>
                <w:bCs/>
                <w:color w:val="FF0000"/>
                <w:sz w:val="20"/>
                <w:szCs w:val="20"/>
              </w:rPr>
              <w:t>79</w:t>
            </w:r>
            <w:r w:rsidRPr="00A37C28">
              <w:rPr>
                <w:rFonts w:ascii="TimesNewRomanPSMT" w:hAnsi="TimesNewRomanPSMT"/>
                <w:color w:val="FF0000"/>
                <w:sz w:val="20"/>
                <w:szCs w:val="20"/>
              </w:rPr>
              <w:t xml:space="preserve">, 103505 (2008) </w:t>
            </w:r>
          </w:p>
          <w:p w14:paraId="1080C8DB" w14:textId="7E6596A5" w:rsidR="004E39EF" w:rsidRDefault="004E39EF" w:rsidP="00854B14">
            <w:pPr>
              <w:pStyle w:val="NormalWeb"/>
              <w:shd w:val="clear" w:color="auto" w:fill="FFFFFF"/>
              <w:jc w:val="both"/>
              <w:cnfStyle w:val="000000000000" w:firstRow="0" w:lastRow="0" w:firstColumn="0" w:lastColumn="0" w:oddVBand="0" w:evenVBand="0" w:oddHBand="0" w:evenHBand="0" w:firstRowFirstColumn="0" w:firstRowLastColumn="0" w:lastRowFirstColumn="0" w:lastRowLastColumn="0"/>
              <w:rPr>
                <w:sz w:val="22"/>
                <w:szCs w:val="22"/>
              </w:rPr>
            </w:pPr>
            <w:r w:rsidRPr="004E39EF">
              <w:rPr>
                <w:sz w:val="22"/>
                <w:szCs w:val="22"/>
              </w:rPr>
              <w:t>Reference 21</w:t>
            </w:r>
            <w:r w:rsidR="005A5BEE">
              <w:rPr>
                <w:sz w:val="22"/>
                <w:szCs w:val="22"/>
              </w:rPr>
              <w:t xml:space="preserve"> is as follows</w:t>
            </w:r>
            <w:r w:rsidRPr="004E39EF">
              <w:rPr>
                <w:sz w:val="22"/>
                <w:szCs w:val="22"/>
              </w:rPr>
              <w:t>:</w:t>
            </w:r>
          </w:p>
          <w:p w14:paraId="37FBF876" w14:textId="3176664A" w:rsidR="00A37C28" w:rsidRPr="00A37C28" w:rsidRDefault="00A37C28" w:rsidP="00A37C28">
            <w:pPr>
              <w:pStyle w:val="NormalWeb"/>
              <w:shd w:val="clear" w:color="auto" w:fill="FFFFFF"/>
              <w:cnfStyle w:val="000000000000" w:firstRow="0" w:lastRow="0" w:firstColumn="0" w:lastColumn="0" w:oddVBand="0" w:evenVBand="0" w:oddHBand="0" w:evenHBand="0" w:firstRowFirstColumn="0" w:firstRowLastColumn="0" w:lastRowFirstColumn="0" w:lastRowLastColumn="0"/>
              <w:rPr>
                <w:color w:val="FF0000"/>
              </w:rPr>
            </w:pPr>
            <w:r w:rsidRPr="00A37C28">
              <w:rPr>
                <w:rFonts w:ascii="TimesNewRomanPSMT" w:hAnsi="TimesNewRomanPSMT"/>
                <w:color w:val="FF0000"/>
                <w:sz w:val="20"/>
                <w:szCs w:val="20"/>
              </w:rPr>
              <w:t xml:space="preserve">A.G. Lynn, P.E. Phillips, A. Hubbard, Rev. Sci. Instrum. </w:t>
            </w:r>
            <w:r w:rsidRPr="00A37C28">
              <w:rPr>
                <w:rFonts w:ascii="TimesNewRomanPS" w:hAnsi="TimesNewRomanPS"/>
                <w:b/>
                <w:bCs/>
                <w:color w:val="FF0000"/>
                <w:sz w:val="20"/>
                <w:szCs w:val="20"/>
              </w:rPr>
              <w:t>75</w:t>
            </w:r>
            <w:r w:rsidRPr="00A37C28">
              <w:rPr>
                <w:rFonts w:ascii="TimesNewRomanPSMT" w:hAnsi="TimesNewRomanPSMT"/>
                <w:color w:val="FF0000"/>
                <w:sz w:val="20"/>
                <w:szCs w:val="20"/>
              </w:rPr>
              <w:t xml:space="preserve">, 10 (2004) </w:t>
            </w:r>
          </w:p>
          <w:p w14:paraId="65DE2866" w14:textId="78B1FAB5" w:rsidR="000E41BD" w:rsidRPr="004E39EF" w:rsidRDefault="004E39EF" w:rsidP="00854B14">
            <w:pPr>
              <w:pStyle w:val="NormalWeb"/>
              <w:shd w:val="clear" w:color="auto" w:fill="FFFFFF"/>
              <w:jc w:val="both"/>
              <w:cnfStyle w:val="000000000000" w:firstRow="0" w:lastRow="0" w:firstColumn="0" w:lastColumn="0" w:oddVBand="0" w:evenVBand="0" w:oddHBand="0" w:evenHBand="0" w:firstRowFirstColumn="0" w:firstRowLastColumn="0" w:lastRowFirstColumn="0" w:lastRowLastColumn="0"/>
              <w:rPr>
                <w:sz w:val="22"/>
                <w:szCs w:val="22"/>
              </w:rPr>
            </w:pPr>
            <w:r w:rsidRPr="004E39EF">
              <w:rPr>
                <w:sz w:val="22"/>
                <w:szCs w:val="22"/>
              </w:rPr>
              <w:t>Figure 3 was updated to show the 105.5% frequency limit.</w:t>
            </w:r>
            <w:r w:rsidR="000E41BD" w:rsidRPr="004E39EF">
              <w:rPr>
                <w:sz w:val="22"/>
                <w:szCs w:val="22"/>
              </w:rPr>
              <w:t xml:space="preserve"> </w:t>
            </w:r>
            <w:r w:rsidR="00193F04">
              <w:rPr>
                <w:sz w:val="22"/>
                <w:szCs w:val="22"/>
              </w:rPr>
              <w:t xml:space="preserve">The </w:t>
            </w:r>
            <w:r w:rsidR="00076B1A">
              <w:rPr>
                <w:sz w:val="22"/>
                <w:szCs w:val="22"/>
              </w:rPr>
              <w:t xml:space="preserve">minimum of the </w:t>
            </w:r>
            <w:r w:rsidR="00193F04">
              <w:rPr>
                <w:sz w:val="22"/>
                <w:szCs w:val="22"/>
              </w:rPr>
              <w:t xml:space="preserve">y-axis was also updated to </w:t>
            </w:r>
            <w:r w:rsidR="00076B1A">
              <w:rPr>
                <w:sz w:val="22"/>
                <w:szCs w:val="22"/>
              </w:rPr>
              <w:t xml:space="preserve">be </w:t>
            </w:r>
            <w:r w:rsidR="00193F04">
              <w:rPr>
                <w:sz w:val="22"/>
                <w:szCs w:val="22"/>
              </w:rPr>
              <w:t>0 GHz.</w:t>
            </w:r>
          </w:p>
          <w:p w14:paraId="6DB54209" w14:textId="437646CF" w:rsidR="00C15E3C" w:rsidRPr="00C15E3C" w:rsidRDefault="004E39EF" w:rsidP="00854B14">
            <w:pPr>
              <w:spacing w:before="120" w:after="120"/>
              <w:jc w:val="both"/>
              <w:cnfStyle w:val="000000000000" w:firstRow="0" w:lastRow="0" w:firstColumn="0" w:lastColumn="0" w:oddVBand="0" w:evenVBand="0" w:oddHBand="0" w:evenHBand="0" w:firstRowFirstColumn="0" w:firstRowLastColumn="0" w:lastRowFirstColumn="0" w:lastRowLastColumn="0"/>
              <w:rPr>
                <w:sz w:val="22"/>
                <w:szCs w:val="22"/>
              </w:rPr>
            </w:pPr>
            <w:r w:rsidRPr="004E39EF">
              <w:rPr>
                <w:sz w:val="22"/>
                <w:szCs w:val="22"/>
              </w:rPr>
              <w:t xml:space="preserve">The caption </w:t>
            </w:r>
            <w:r w:rsidR="00A870C0">
              <w:rPr>
                <w:sz w:val="22"/>
                <w:szCs w:val="22"/>
              </w:rPr>
              <w:t>below</w:t>
            </w:r>
            <w:r w:rsidRPr="004E39EF">
              <w:rPr>
                <w:sz w:val="22"/>
                <w:szCs w:val="22"/>
              </w:rPr>
              <w:t xml:space="preserve"> Figure 3 in section 2.2 was updated </w:t>
            </w:r>
            <w:r w:rsidR="00C15E3C">
              <w:rPr>
                <w:sz w:val="22"/>
                <w:szCs w:val="22"/>
              </w:rPr>
              <w:t xml:space="preserve">from </w:t>
            </w:r>
            <w:r w:rsidR="00C15E3C" w:rsidRPr="00C15E3C">
              <w:rPr>
                <w:sz w:val="22"/>
                <w:szCs w:val="22"/>
              </w:rPr>
              <w:t>“</w:t>
            </w:r>
            <w:r w:rsidR="00C15E3C" w:rsidRPr="00C15E3C">
              <w:rPr>
                <w:sz w:val="22"/>
                <w:szCs w:val="22"/>
              </w:rPr>
              <w:t>CECE measurement locations (highlighted region) are not cutoff if the second harmonic electron cyclotron frequency is above the right-hand cutoff frequency. CECE channels measuring at cutoff locations are identified and removed from further analysis. This minimizes the effects of refraction on data processed by the analysis method.</w:t>
            </w:r>
            <w:r w:rsidR="00C15E3C" w:rsidRPr="00C15E3C">
              <w:rPr>
                <w:sz w:val="22"/>
                <w:szCs w:val="22"/>
              </w:rPr>
              <w:t>” to the following:</w:t>
            </w:r>
          </w:p>
          <w:p w14:paraId="7BFE4B36" w14:textId="77777777" w:rsidR="004E39EF" w:rsidRPr="00DD177F" w:rsidRDefault="004E39EF" w:rsidP="00854B14">
            <w:pPr>
              <w:pStyle w:val="NormalWeb"/>
              <w:shd w:val="clear" w:color="auto" w:fill="FFFFFF"/>
              <w:jc w:val="both"/>
              <w:cnfStyle w:val="000000000000" w:firstRow="0" w:lastRow="0" w:firstColumn="0" w:lastColumn="0" w:oddVBand="0" w:evenVBand="0" w:oddHBand="0" w:evenHBand="0" w:firstRowFirstColumn="0" w:firstRowLastColumn="0" w:lastRowFirstColumn="0" w:lastRowLastColumn="0"/>
              <w:rPr>
                <w:color w:val="FF0000"/>
                <w:sz w:val="22"/>
                <w:szCs w:val="22"/>
              </w:rPr>
            </w:pPr>
            <w:r w:rsidRPr="004E39EF">
              <w:rPr>
                <w:sz w:val="22"/>
                <w:szCs w:val="22"/>
              </w:rPr>
              <w:t xml:space="preserve">CECE measurement locations (highlighted region) are not cutoff if the second harmonic electron cyclotron frequency </w:t>
            </w:r>
            <w:r w:rsidRPr="00B904E2">
              <w:rPr>
                <w:color w:val="FF0000"/>
                <w:sz w:val="22"/>
                <w:szCs w:val="22"/>
              </w:rPr>
              <w:t xml:space="preserve">(solid green curve) </w:t>
            </w:r>
            <w:r w:rsidRPr="004E39EF">
              <w:rPr>
                <w:sz w:val="22"/>
                <w:szCs w:val="22"/>
              </w:rPr>
              <w:t xml:space="preserve">is above the right-hand cutoff frequency </w:t>
            </w:r>
            <w:r w:rsidRPr="00B904E2">
              <w:rPr>
                <w:color w:val="FF0000"/>
                <w:sz w:val="22"/>
                <w:szCs w:val="22"/>
              </w:rPr>
              <w:t>(solid red curve)</w:t>
            </w:r>
            <w:r w:rsidRPr="004E39EF">
              <w:rPr>
                <w:sz w:val="22"/>
                <w:szCs w:val="22"/>
              </w:rPr>
              <w:t xml:space="preserve">. </w:t>
            </w:r>
            <w:r w:rsidRPr="00DD177F">
              <w:rPr>
                <w:color w:val="FF0000"/>
                <w:sz w:val="22"/>
                <w:szCs w:val="22"/>
              </w:rPr>
              <w:t xml:space="preserve">Additionally, the effects of refraction on data processed by the automated analysis are minimized by identifying and removing from further analysis any CECE channels that have second harmonic electron cyclotron frequencies below a 105.5% multiple of the right-hand cutoff frequency (dashed red curve) [19-21]. </w:t>
            </w:r>
          </w:p>
          <w:p w14:paraId="18256FD2" w14:textId="3331D317" w:rsidR="004E39EF" w:rsidRDefault="00091274" w:rsidP="00854B14">
            <w:pPr>
              <w:spacing w:before="120" w:after="120"/>
              <w:jc w:val="both"/>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Upon applying this updated limit to the current iteration of the database, 235 datapoints were identified that were in violation of this</w:t>
            </w:r>
            <w:r w:rsidR="00C243EB">
              <w:rPr>
                <w:sz w:val="22"/>
                <w:szCs w:val="22"/>
              </w:rPr>
              <w:t xml:space="preserve"> </w:t>
            </w:r>
            <w:r w:rsidR="00446E15">
              <w:rPr>
                <w:sz w:val="22"/>
                <w:szCs w:val="22"/>
              </w:rPr>
              <w:t>updated</w:t>
            </w:r>
            <w:r>
              <w:rPr>
                <w:sz w:val="22"/>
                <w:szCs w:val="22"/>
              </w:rPr>
              <w:t xml:space="preserve"> limit. </w:t>
            </w:r>
            <w:r w:rsidR="00C51881">
              <w:rPr>
                <w:sz w:val="22"/>
                <w:szCs w:val="22"/>
              </w:rPr>
              <w:t>The number of datapoints in the database as detailed in Section 3.2 has been updated accordingly</w:t>
            </w:r>
            <w:r w:rsidR="00B977A2">
              <w:rPr>
                <w:sz w:val="22"/>
                <w:szCs w:val="22"/>
              </w:rPr>
              <w:t>, as per the following paragraph</w:t>
            </w:r>
            <w:r w:rsidR="00C51881">
              <w:rPr>
                <w:sz w:val="22"/>
                <w:szCs w:val="22"/>
              </w:rPr>
              <w:t xml:space="preserve"> </w:t>
            </w:r>
            <w:r w:rsidR="003C5983">
              <w:rPr>
                <w:sz w:val="22"/>
                <w:szCs w:val="22"/>
              </w:rPr>
              <w:t>(not</w:t>
            </w:r>
            <w:r w:rsidR="00B977A2">
              <w:rPr>
                <w:sz w:val="22"/>
                <w:szCs w:val="22"/>
              </w:rPr>
              <w:t>e</w:t>
            </w:r>
            <w:r w:rsidR="003C5983">
              <w:rPr>
                <w:sz w:val="22"/>
                <w:szCs w:val="22"/>
              </w:rPr>
              <w:t xml:space="preserve"> also</w:t>
            </w:r>
            <w:r w:rsidR="00B977A2">
              <w:rPr>
                <w:sz w:val="22"/>
                <w:szCs w:val="22"/>
              </w:rPr>
              <w:t xml:space="preserve"> that t</w:t>
            </w:r>
            <w:r w:rsidR="00C51881">
              <w:rPr>
                <w:sz w:val="22"/>
                <w:szCs w:val="22"/>
              </w:rPr>
              <w:t>he range of discharge numbers included in the database was also added to this paragraph for better reproducibility of this work</w:t>
            </w:r>
            <w:r w:rsidR="003C5983">
              <w:rPr>
                <w:sz w:val="22"/>
                <w:szCs w:val="22"/>
              </w:rPr>
              <w:t>):</w:t>
            </w:r>
          </w:p>
          <w:p w14:paraId="6973C7F2" w14:textId="7685116F" w:rsidR="00BC4101" w:rsidRPr="00C51881" w:rsidRDefault="00C51881" w:rsidP="00C51881">
            <w:pPr>
              <w:pStyle w:val="NormalWeb"/>
              <w:shd w:val="clear" w:color="auto" w:fill="FFFFFF"/>
              <w:cnfStyle w:val="000000000000" w:firstRow="0" w:lastRow="0" w:firstColumn="0" w:lastColumn="0" w:oddVBand="0" w:evenVBand="0" w:oddHBand="0" w:evenHBand="0" w:firstRowFirstColumn="0" w:firstRowLastColumn="0" w:lastRowFirstColumn="0" w:lastRowLastColumn="0"/>
              <w:rPr>
                <w:sz w:val="22"/>
                <w:szCs w:val="22"/>
              </w:rPr>
            </w:pPr>
            <w:r w:rsidRPr="00C51881">
              <w:rPr>
                <w:sz w:val="22"/>
                <w:szCs w:val="22"/>
              </w:rPr>
              <w:t xml:space="preserve">The first iteration of the database was developed by running the automated analysis method on 700 discharges measured by </w:t>
            </w:r>
            <w:r w:rsidRPr="00C51881">
              <w:rPr>
                <w:sz w:val="22"/>
                <w:szCs w:val="22"/>
              </w:rPr>
              <w:lastRenderedPageBreak/>
              <w:t xml:space="preserve">the CECE system installed on AUG Sector 9 from May 2020 to January 2021. Among the 700 discharges </w:t>
            </w:r>
            <w:r w:rsidRPr="00F64B41">
              <w:rPr>
                <w:color w:val="FF0000"/>
                <w:sz w:val="22"/>
                <w:szCs w:val="22"/>
              </w:rPr>
              <w:t>(including AUG discharge numbers 37,700 - 38,399)</w:t>
            </w:r>
            <w:r w:rsidRPr="00C51881">
              <w:rPr>
                <w:sz w:val="22"/>
                <w:szCs w:val="22"/>
              </w:rPr>
              <w:t xml:space="preserve">, 166 of them contained data that passed the checks of the automated analysis. Through the analysis of the 166 discharges, </w:t>
            </w:r>
            <w:r w:rsidRPr="00133AC5">
              <w:rPr>
                <w:color w:val="FF0000"/>
                <w:sz w:val="22"/>
                <w:szCs w:val="22"/>
              </w:rPr>
              <w:t xml:space="preserve">4,286 </w:t>
            </w:r>
            <w:r w:rsidRPr="00C51881">
              <w:rPr>
                <w:sz w:val="22"/>
                <w:szCs w:val="22"/>
              </w:rPr>
              <w:t xml:space="preserve">datapoints were written to the database. Of this number, </w:t>
            </w:r>
            <w:r w:rsidRPr="00133AC5">
              <w:rPr>
                <w:color w:val="FF0000"/>
                <w:sz w:val="22"/>
                <w:szCs w:val="22"/>
              </w:rPr>
              <w:t xml:space="preserve">3,936 </w:t>
            </w:r>
            <w:r w:rsidRPr="00C51881">
              <w:rPr>
                <w:sz w:val="22"/>
                <w:szCs w:val="22"/>
              </w:rPr>
              <w:t xml:space="preserve">datapoints were located in the core (defined here as corresponding to </w:t>
            </w:r>
            <w:r w:rsidRPr="00C51881">
              <w:rPr>
                <w:sz w:val="22"/>
                <w:szCs w:val="22"/>
              </w:rPr>
              <w:sym w:font="Symbol" w:char="F072"/>
            </w:r>
            <w:r w:rsidRPr="00C51881">
              <w:rPr>
                <w:position w:val="-2"/>
                <w:sz w:val="22"/>
                <w:szCs w:val="22"/>
              </w:rPr>
              <w:t xml:space="preserve">tor </w:t>
            </w:r>
            <w:r w:rsidRPr="00C51881">
              <w:rPr>
                <w:sz w:val="22"/>
                <w:szCs w:val="22"/>
              </w:rPr>
              <w:t xml:space="preserve">&lt; 0.8, where </w:t>
            </w:r>
            <w:r w:rsidRPr="00C51881">
              <w:rPr>
                <w:sz w:val="22"/>
                <w:szCs w:val="22"/>
              </w:rPr>
              <w:sym w:font="Symbol" w:char="F072"/>
            </w:r>
            <w:r w:rsidRPr="00C51881">
              <w:rPr>
                <w:position w:val="-2"/>
                <w:sz w:val="22"/>
                <w:szCs w:val="22"/>
              </w:rPr>
              <w:t xml:space="preserve">tor </w:t>
            </w:r>
            <w:r w:rsidRPr="00C51881">
              <w:rPr>
                <w:sz w:val="22"/>
                <w:szCs w:val="22"/>
              </w:rPr>
              <w:t xml:space="preserve">is the square root of the normalized toroidal magnetic flux) of the AUG plasmas. </w:t>
            </w:r>
          </w:p>
        </w:tc>
      </w:tr>
      <w:tr w:rsidR="00553ED2" w:rsidRPr="00A14BB8" w14:paraId="73BAA717" w14:textId="77777777" w:rsidTr="008D12E4">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685" w:type="dxa"/>
          </w:tcPr>
          <w:p w14:paraId="55584D04" w14:textId="43F79228" w:rsidR="00553ED2" w:rsidRPr="00A14BB8" w:rsidRDefault="00553ED2" w:rsidP="00553ED2">
            <w:pPr>
              <w:jc w:val="both"/>
              <w:rPr>
                <w:sz w:val="18"/>
                <w:szCs w:val="18"/>
              </w:rPr>
            </w:pPr>
            <w:r w:rsidRPr="00A14BB8">
              <w:rPr>
                <w:sz w:val="18"/>
                <w:szCs w:val="18"/>
              </w:rPr>
              <w:lastRenderedPageBreak/>
              <w:t>1.3</w:t>
            </w:r>
          </w:p>
        </w:tc>
        <w:tc>
          <w:tcPr>
            <w:tcW w:w="4032" w:type="dxa"/>
          </w:tcPr>
          <w:p w14:paraId="378F75A9" w14:textId="1022E61C" w:rsidR="00553ED2" w:rsidRPr="004E39EF" w:rsidRDefault="008D5206" w:rsidP="00854B14">
            <w:pPr>
              <w:spacing w:before="120" w:after="120"/>
              <w:jc w:val="both"/>
              <w:cnfStyle w:val="000000100000" w:firstRow="0" w:lastRow="0" w:firstColumn="0" w:lastColumn="0" w:oddVBand="0" w:evenVBand="0" w:oddHBand="1" w:evenHBand="0" w:firstRowFirstColumn="0" w:firstRowLastColumn="0" w:lastRowFirstColumn="0" w:lastRowLastColumn="0"/>
              <w:rPr>
                <w:sz w:val="22"/>
                <w:szCs w:val="22"/>
              </w:rPr>
            </w:pPr>
            <w:r w:rsidRPr="004E39EF">
              <w:rPr>
                <w:sz w:val="22"/>
                <w:szCs w:val="22"/>
              </w:rPr>
              <w:t>The citation for the CECE system is incorrect and read [1], when it should be [3].</w:t>
            </w:r>
            <w:r w:rsidR="00553ED2" w:rsidRPr="004E39EF">
              <w:rPr>
                <w:sz w:val="22"/>
                <w:szCs w:val="22"/>
              </w:rPr>
              <w:t> </w:t>
            </w:r>
          </w:p>
        </w:tc>
        <w:tc>
          <w:tcPr>
            <w:tcW w:w="5760" w:type="dxa"/>
          </w:tcPr>
          <w:p w14:paraId="15A19AC1" w14:textId="6501322C" w:rsidR="000D049A" w:rsidRPr="004E39EF" w:rsidRDefault="00D3150C" w:rsidP="00854B14">
            <w:pPr>
              <w:spacing w:before="120" w:after="120"/>
              <w:jc w:val="both"/>
              <w:cnfStyle w:val="000000100000" w:firstRow="0" w:lastRow="0" w:firstColumn="0" w:lastColumn="0" w:oddVBand="0" w:evenVBand="0" w:oddHBand="1" w:evenHBand="0" w:firstRowFirstColumn="0" w:firstRowLastColumn="0" w:lastRowFirstColumn="0" w:lastRowLastColumn="0"/>
              <w:rPr>
                <w:rFonts w:eastAsiaTheme="minorHAnsi"/>
                <w:sz w:val="22"/>
                <w:szCs w:val="22"/>
              </w:rPr>
            </w:pPr>
            <w:r>
              <w:rPr>
                <w:rFonts w:eastAsiaTheme="minorHAnsi"/>
                <w:sz w:val="22"/>
                <w:szCs w:val="22"/>
              </w:rPr>
              <w:t xml:space="preserve">Thank you for catching this </w:t>
            </w:r>
            <w:r w:rsidR="008E3124">
              <w:rPr>
                <w:rFonts w:eastAsiaTheme="minorHAnsi"/>
                <w:sz w:val="22"/>
                <w:szCs w:val="22"/>
              </w:rPr>
              <w:t>mistake</w:t>
            </w:r>
            <w:r>
              <w:rPr>
                <w:rFonts w:eastAsiaTheme="minorHAnsi"/>
                <w:sz w:val="22"/>
                <w:szCs w:val="22"/>
              </w:rPr>
              <w:t xml:space="preserve"> on page 2. This has been corrected.</w:t>
            </w:r>
          </w:p>
        </w:tc>
      </w:tr>
    </w:tbl>
    <w:p w14:paraId="23B59DA1" w14:textId="485107FE" w:rsidR="00451E4F" w:rsidRPr="00A14BB8" w:rsidRDefault="00451E4F">
      <w:pPr>
        <w:rPr>
          <w:u w:val="single"/>
        </w:rPr>
      </w:pPr>
    </w:p>
    <w:sectPr w:rsidR="00451E4F" w:rsidRPr="00A14BB8" w:rsidSect="00063E0D">
      <w:pgSz w:w="12240" w:h="15840"/>
      <w:pgMar w:top="72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New York">
    <w:altName w:val="Times New Roman"/>
    <w:panose1 w:val="020B0604020202020204"/>
    <w:charset w:val="00"/>
    <w:family w:val="roman"/>
    <w:notTrueType/>
    <w:pitch w:val="variable"/>
    <w:sig w:usb0="00000003" w:usb1="00000000" w:usb2="00000000" w:usb3="00000000" w:csb0="00000001" w:csb1="00000000"/>
  </w:font>
  <w:font w:name="TimesNewRomanPSMT">
    <w:altName w:val="Times New Roman"/>
    <w:panose1 w:val="020B0604020202020204"/>
    <w:charset w:val="00"/>
    <w:family w:val="roman"/>
    <w:notTrueType/>
    <w:pitch w:val="default"/>
  </w:font>
  <w:font w:name="TimesNewRomanPS">
    <w:altName w:val="Times New Roman"/>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20075"/>
    <w:multiLevelType w:val="hybridMultilevel"/>
    <w:tmpl w:val="8DDA7050"/>
    <w:lvl w:ilvl="0" w:tplc="84B8046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F45095"/>
    <w:multiLevelType w:val="hybridMultilevel"/>
    <w:tmpl w:val="4D82E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127396"/>
    <w:multiLevelType w:val="multilevel"/>
    <w:tmpl w:val="0846C5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69516C8"/>
    <w:multiLevelType w:val="hybridMultilevel"/>
    <w:tmpl w:val="586ED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880FAE"/>
    <w:multiLevelType w:val="hybridMultilevel"/>
    <w:tmpl w:val="591E6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A249AF"/>
    <w:multiLevelType w:val="hybridMultilevel"/>
    <w:tmpl w:val="709C6F52"/>
    <w:lvl w:ilvl="0" w:tplc="ED2A1016">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E93895"/>
    <w:multiLevelType w:val="hybridMultilevel"/>
    <w:tmpl w:val="C382D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FB0915"/>
    <w:multiLevelType w:val="hybridMultilevel"/>
    <w:tmpl w:val="1944C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B9161F"/>
    <w:multiLevelType w:val="hybridMultilevel"/>
    <w:tmpl w:val="D18CA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1F37E8"/>
    <w:multiLevelType w:val="hybridMultilevel"/>
    <w:tmpl w:val="DFD2F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29018150">
    <w:abstractNumId w:val="7"/>
  </w:num>
  <w:num w:numId="2" w16cid:durableId="395589513">
    <w:abstractNumId w:val="8"/>
  </w:num>
  <w:num w:numId="3" w16cid:durableId="201479586">
    <w:abstractNumId w:val="9"/>
  </w:num>
  <w:num w:numId="4" w16cid:durableId="1969121398">
    <w:abstractNumId w:val="2"/>
  </w:num>
  <w:num w:numId="5" w16cid:durableId="1915045054">
    <w:abstractNumId w:val="1"/>
  </w:num>
  <w:num w:numId="6" w16cid:durableId="1497458808">
    <w:abstractNumId w:val="3"/>
  </w:num>
  <w:num w:numId="7" w16cid:durableId="421994984">
    <w:abstractNumId w:val="0"/>
  </w:num>
  <w:num w:numId="8" w16cid:durableId="1544830152">
    <w:abstractNumId w:val="4"/>
  </w:num>
  <w:num w:numId="9" w16cid:durableId="1957638497">
    <w:abstractNumId w:val="5"/>
  </w:num>
  <w:num w:numId="10" w16cid:durableId="5649521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85F"/>
    <w:rsid w:val="00001DF1"/>
    <w:rsid w:val="00010E2D"/>
    <w:rsid w:val="0001214C"/>
    <w:rsid w:val="00012EB5"/>
    <w:rsid w:val="00016911"/>
    <w:rsid w:val="00020208"/>
    <w:rsid w:val="000219FA"/>
    <w:rsid w:val="0002346D"/>
    <w:rsid w:val="00033060"/>
    <w:rsid w:val="000335AF"/>
    <w:rsid w:val="0003449F"/>
    <w:rsid w:val="0004003D"/>
    <w:rsid w:val="000423D7"/>
    <w:rsid w:val="00045A93"/>
    <w:rsid w:val="00045A99"/>
    <w:rsid w:val="000518AF"/>
    <w:rsid w:val="00062CE8"/>
    <w:rsid w:val="00063E0D"/>
    <w:rsid w:val="00066AF7"/>
    <w:rsid w:val="0006730F"/>
    <w:rsid w:val="00070BC2"/>
    <w:rsid w:val="000726C0"/>
    <w:rsid w:val="0007602B"/>
    <w:rsid w:val="00076B1A"/>
    <w:rsid w:val="00084303"/>
    <w:rsid w:val="00084876"/>
    <w:rsid w:val="00091100"/>
    <w:rsid w:val="00091274"/>
    <w:rsid w:val="000A3E61"/>
    <w:rsid w:val="000A40DA"/>
    <w:rsid w:val="000A5509"/>
    <w:rsid w:val="000A69F4"/>
    <w:rsid w:val="000A7F2D"/>
    <w:rsid w:val="000B0011"/>
    <w:rsid w:val="000B13BC"/>
    <w:rsid w:val="000B20BF"/>
    <w:rsid w:val="000B2177"/>
    <w:rsid w:val="000B4BDF"/>
    <w:rsid w:val="000B60AD"/>
    <w:rsid w:val="000C2683"/>
    <w:rsid w:val="000C2EDF"/>
    <w:rsid w:val="000D049A"/>
    <w:rsid w:val="000D1878"/>
    <w:rsid w:val="000D1E98"/>
    <w:rsid w:val="000D3B79"/>
    <w:rsid w:val="000E2233"/>
    <w:rsid w:val="000E2985"/>
    <w:rsid w:val="000E41BD"/>
    <w:rsid w:val="000E7598"/>
    <w:rsid w:val="000E7E84"/>
    <w:rsid w:val="000F0C21"/>
    <w:rsid w:val="000F2023"/>
    <w:rsid w:val="000F29C9"/>
    <w:rsid w:val="000F3928"/>
    <w:rsid w:val="000F6923"/>
    <w:rsid w:val="00100ABD"/>
    <w:rsid w:val="001014FF"/>
    <w:rsid w:val="00101F4C"/>
    <w:rsid w:val="00106E5E"/>
    <w:rsid w:val="00106EA8"/>
    <w:rsid w:val="00114EC9"/>
    <w:rsid w:val="00115B1C"/>
    <w:rsid w:val="00130E5D"/>
    <w:rsid w:val="0013198E"/>
    <w:rsid w:val="00131BE7"/>
    <w:rsid w:val="00133AC5"/>
    <w:rsid w:val="00136A82"/>
    <w:rsid w:val="00140458"/>
    <w:rsid w:val="0014487D"/>
    <w:rsid w:val="001448B7"/>
    <w:rsid w:val="00152DA1"/>
    <w:rsid w:val="001553DE"/>
    <w:rsid w:val="00160177"/>
    <w:rsid w:val="0016025B"/>
    <w:rsid w:val="00161D8F"/>
    <w:rsid w:val="00172AB0"/>
    <w:rsid w:val="00173459"/>
    <w:rsid w:val="00184137"/>
    <w:rsid w:val="00192B6E"/>
    <w:rsid w:val="00193F04"/>
    <w:rsid w:val="0019483E"/>
    <w:rsid w:val="001A6220"/>
    <w:rsid w:val="001A65C1"/>
    <w:rsid w:val="001C0A51"/>
    <w:rsid w:val="001C182E"/>
    <w:rsid w:val="001C4DB0"/>
    <w:rsid w:val="001C65B2"/>
    <w:rsid w:val="001D435B"/>
    <w:rsid w:val="001D5EE2"/>
    <w:rsid w:val="001E5189"/>
    <w:rsid w:val="001E6891"/>
    <w:rsid w:val="001E73E3"/>
    <w:rsid w:val="001E73F5"/>
    <w:rsid w:val="001F1201"/>
    <w:rsid w:val="002012E9"/>
    <w:rsid w:val="002018F9"/>
    <w:rsid w:val="00203E0E"/>
    <w:rsid w:val="00206122"/>
    <w:rsid w:val="002071FB"/>
    <w:rsid w:val="002162B0"/>
    <w:rsid w:val="002216D7"/>
    <w:rsid w:val="00233DC4"/>
    <w:rsid w:val="00234FAB"/>
    <w:rsid w:val="00235CC3"/>
    <w:rsid w:val="0023700B"/>
    <w:rsid w:val="002477A7"/>
    <w:rsid w:val="00254885"/>
    <w:rsid w:val="00257078"/>
    <w:rsid w:val="00257284"/>
    <w:rsid w:val="00262612"/>
    <w:rsid w:val="0026377A"/>
    <w:rsid w:val="002644C3"/>
    <w:rsid w:val="002739FD"/>
    <w:rsid w:val="002741AA"/>
    <w:rsid w:val="002747B8"/>
    <w:rsid w:val="00276915"/>
    <w:rsid w:val="002950DD"/>
    <w:rsid w:val="00295CDE"/>
    <w:rsid w:val="002A1CE3"/>
    <w:rsid w:val="002A28D0"/>
    <w:rsid w:val="002A32DD"/>
    <w:rsid w:val="002B1050"/>
    <w:rsid w:val="002B3709"/>
    <w:rsid w:val="002B3B76"/>
    <w:rsid w:val="002B7F11"/>
    <w:rsid w:val="002C1249"/>
    <w:rsid w:val="002C385D"/>
    <w:rsid w:val="002C47E0"/>
    <w:rsid w:val="002C5215"/>
    <w:rsid w:val="002C79FE"/>
    <w:rsid w:val="002D0763"/>
    <w:rsid w:val="002D0A86"/>
    <w:rsid w:val="002D2806"/>
    <w:rsid w:val="002D618B"/>
    <w:rsid w:val="002D7DC4"/>
    <w:rsid w:val="002E0607"/>
    <w:rsid w:val="002E172C"/>
    <w:rsid w:val="002E2367"/>
    <w:rsid w:val="002E5A9F"/>
    <w:rsid w:val="002F1813"/>
    <w:rsid w:val="002F4137"/>
    <w:rsid w:val="00302A62"/>
    <w:rsid w:val="003073F4"/>
    <w:rsid w:val="00312008"/>
    <w:rsid w:val="0031316B"/>
    <w:rsid w:val="00313573"/>
    <w:rsid w:val="003139A0"/>
    <w:rsid w:val="00316B17"/>
    <w:rsid w:val="00320928"/>
    <w:rsid w:val="00324E63"/>
    <w:rsid w:val="0032612B"/>
    <w:rsid w:val="00327B46"/>
    <w:rsid w:val="003322AB"/>
    <w:rsid w:val="00334677"/>
    <w:rsid w:val="00335A67"/>
    <w:rsid w:val="00335E09"/>
    <w:rsid w:val="00335F21"/>
    <w:rsid w:val="003511EA"/>
    <w:rsid w:val="00354708"/>
    <w:rsid w:val="00354DF3"/>
    <w:rsid w:val="003562DA"/>
    <w:rsid w:val="00360C33"/>
    <w:rsid w:val="00364312"/>
    <w:rsid w:val="00373F4E"/>
    <w:rsid w:val="0037488A"/>
    <w:rsid w:val="00374D26"/>
    <w:rsid w:val="003830B0"/>
    <w:rsid w:val="0038578E"/>
    <w:rsid w:val="003904DF"/>
    <w:rsid w:val="00390D77"/>
    <w:rsid w:val="003979C5"/>
    <w:rsid w:val="003A2606"/>
    <w:rsid w:val="003A5645"/>
    <w:rsid w:val="003A61F3"/>
    <w:rsid w:val="003B1DFC"/>
    <w:rsid w:val="003B2685"/>
    <w:rsid w:val="003C47B9"/>
    <w:rsid w:val="003C5983"/>
    <w:rsid w:val="003C6AF1"/>
    <w:rsid w:val="003D182E"/>
    <w:rsid w:val="003D51FB"/>
    <w:rsid w:val="003E3BBF"/>
    <w:rsid w:val="003F0FD0"/>
    <w:rsid w:val="003F5878"/>
    <w:rsid w:val="00400744"/>
    <w:rsid w:val="00403593"/>
    <w:rsid w:val="00404201"/>
    <w:rsid w:val="00404366"/>
    <w:rsid w:val="00406CC0"/>
    <w:rsid w:val="00407BBA"/>
    <w:rsid w:val="00410B55"/>
    <w:rsid w:val="004137B9"/>
    <w:rsid w:val="00413FB9"/>
    <w:rsid w:val="00414817"/>
    <w:rsid w:val="00417953"/>
    <w:rsid w:val="00430D59"/>
    <w:rsid w:val="00432144"/>
    <w:rsid w:val="00434E7E"/>
    <w:rsid w:val="0044066B"/>
    <w:rsid w:val="00442F43"/>
    <w:rsid w:val="00444694"/>
    <w:rsid w:val="00446E15"/>
    <w:rsid w:val="00451E4F"/>
    <w:rsid w:val="00464067"/>
    <w:rsid w:val="00466C11"/>
    <w:rsid w:val="00471928"/>
    <w:rsid w:val="00480023"/>
    <w:rsid w:val="004819C0"/>
    <w:rsid w:val="00483AF8"/>
    <w:rsid w:val="00487A56"/>
    <w:rsid w:val="004A187B"/>
    <w:rsid w:val="004B3382"/>
    <w:rsid w:val="004B419A"/>
    <w:rsid w:val="004B4855"/>
    <w:rsid w:val="004B4B7F"/>
    <w:rsid w:val="004B6B77"/>
    <w:rsid w:val="004C2A83"/>
    <w:rsid w:val="004C326A"/>
    <w:rsid w:val="004C3B7B"/>
    <w:rsid w:val="004C42CF"/>
    <w:rsid w:val="004C5493"/>
    <w:rsid w:val="004D2636"/>
    <w:rsid w:val="004D53EF"/>
    <w:rsid w:val="004E05D5"/>
    <w:rsid w:val="004E38B4"/>
    <w:rsid w:val="004E39EF"/>
    <w:rsid w:val="004E3ACD"/>
    <w:rsid w:val="004E5EEC"/>
    <w:rsid w:val="004E68D2"/>
    <w:rsid w:val="004E7DEE"/>
    <w:rsid w:val="004E7DFA"/>
    <w:rsid w:val="004F12EA"/>
    <w:rsid w:val="004F1CE8"/>
    <w:rsid w:val="004F2101"/>
    <w:rsid w:val="004F664B"/>
    <w:rsid w:val="004F781C"/>
    <w:rsid w:val="00502568"/>
    <w:rsid w:val="00504196"/>
    <w:rsid w:val="00506959"/>
    <w:rsid w:val="00511491"/>
    <w:rsid w:val="00517B59"/>
    <w:rsid w:val="00523987"/>
    <w:rsid w:val="005242BB"/>
    <w:rsid w:val="005273F6"/>
    <w:rsid w:val="0053035B"/>
    <w:rsid w:val="005325DA"/>
    <w:rsid w:val="00543901"/>
    <w:rsid w:val="00545AFB"/>
    <w:rsid w:val="00553ED2"/>
    <w:rsid w:val="0055464C"/>
    <w:rsid w:val="00554D46"/>
    <w:rsid w:val="005603A2"/>
    <w:rsid w:val="005609C8"/>
    <w:rsid w:val="00562FE0"/>
    <w:rsid w:val="00565563"/>
    <w:rsid w:val="00566E58"/>
    <w:rsid w:val="00572449"/>
    <w:rsid w:val="005746AE"/>
    <w:rsid w:val="005774DB"/>
    <w:rsid w:val="00580FF5"/>
    <w:rsid w:val="00582F3D"/>
    <w:rsid w:val="005862CF"/>
    <w:rsid w:val="0059232D"/>
    <w:rsid w:val="0059425D"/>
    <w:rsid w:val="005A03DC"/>
    <w:rsid w:val="005A4B12"/>
    <w:rsid w:val="005A5BEE"/>
    <w:rsid w:val="005B042D"/>
    <w:rsid w:val="005B0780"/>
    <w:rsid w:val="005B0C57"/>
    <w:rsid w:val="005B14C2"/>
    <w:rsid w:val="005B5E9B"/>
    <w:rsid w:val="005B6B22"/>
    <w:rsid w:val="005B770E"/>
    <w:rsid w:val="005C4312"/>
    <w:rsid w:val="005C6E73"/>
    <w:rsid w:val="005D4A26"/>
    <w:rsid w:val="005D7129"/>
    <w:rsid w:val="005E5956"/>
    <w:rsid w:val="005F0CAD"/>
    <w:rsid w:val="005F26EA"/>
    <w:rsid w:val="00604508"/>
    <w:rsid w:val="0060594D"/>
    <w:rsid w:val="00605AB4"/>
    <w:rsid w:val="00606B82"/>
    <w:rsid w:val="006173EA"/>
    <w:rsid w:val="00626372"/>
    <w:rsid w:val="00630770"/>
    <w:rsid w:val="00634DC8"/>
    <w:rsid w:val="00635559"/>
    <w:rsid w:val="00635D42"/>
    <w:rsid w:val="006424D6"/>
    <w:rsid w:val="0064574E"/>
    <w:rsid w:val="00646235"/>
    <w:rsid w:val="006465A4"/>
    <w:rsid w:val="0065289B"/>
    <w:rsid w:val="00653609"/>
    <w:rsid w:val="006541F7"/>
    <w:rsid w:val="00656FF6"/>
    <w:rsid w:val="0066292F"/>
    <w:rsid w:val="00663A70"/>
    <w:rsid w:val="00665A3D"/>
    <w:rsid w:val="006776B2"/>
    <w:rsid w:val="006861CE"/>
    <w:rsid w:val="0069367C"/>
    <w:rsid w:val="006A5E6C"/>
    <w:rsid w:val="006A61FD"/>
    <w:rsid w:val="006B3E8C"/>
    <w:rsid w:val="006C5D78"/>
    <w:rsid w:val="006D2104"/>
    <w:rsid w:val="006D3C1C"/>
    <w:rsid w:val="006D4571"/>
    <w:rsid w:val="006E59E3"/>
    <w:rsid w:val="006F5C4E"/>
    <w:rsid w:val="007053B0"/>
    <w:rsid w:val="007107F4"/>
    <w:rsid w:val="00711386"/>
    <w:rsid w:val="00712613"/>
    <w:rsid w:val="007278E3"/>
    <w:rsid w:val="00727B85"/>
    <w:rsid w:val="00744C70"/>
    <w:rsid w:val="007451AD"/>
    <w:rsid w:val="00751DD3"/>
    <w:rsid w:val="00752617"/>
    <w:rsid w:val="00753EB2"/>
    <w:rsid w:val="00755646"/>
    <w:rsid w:val="007666B1"/>
    <w:rsid w:val="007673E3"/>
    <w:rsid w:val="00787793"/>
    <w:rsid w:val="007879D2"/>
    <w:rsid w:val="0079392D"/>
    <w:rsid w:val="00795DBD"/>
    <w:rsid w:val="007A0646"/>
    <w:rsid w:val="007A2D3E"/>
    <w:rsid w:val="007A3387"/>
    <w:rsid w:val="007A73DA"/>
    <w:rsid w:val="007B118F"/>
    <w:rsid w:val="007B1BE0"/>
    <w:rsid w:val="007B2D5D"/>
    <w:rsid w:val="007B370E"/>
    <w:rsid w:val="007C5EFD"/>
    <w:rsid w:val="007D1773"/>
    <w:rsid w:val="007D3570"/>
    <w:rsid w:val="007D5FCA"/>
    <w:rsid w:val="007E0461"/>
    <w:rsid w:val="007E38A4"/>
    <w:rsid w:val="007E5A88"/>
    <w:rsid w:val="007E6146"/>
    <w:rsid w:val="007F0FFC"/>
    <w:rsid w:val="007F3D60"/>
    <w:rsid w:val="007F572A"/>
    <w:rsid w:val="00800FBE"/>
    <w:rsid w:val="008025DB"/>
    <w:rsid w:val="00802793"/>
    <w:rsid w:val="00806A2C"/>
    <w:rsid w:val="00812340"/>
    <w:rsid w:val="00817958"/>
    <w:rsid w:val="00820432"/>
    <w:rsid w:val="0082387A"/>
    <w:rsid w:val="00827E8E"/>
    <w:rsid w:val="00827F36"/>
    <w:rsid w:val="008337F5"/>
    <w:rsid w:val="008338DC"/>
    <w:rsid w:val="00841B98"/>
    <w:rsid w:val="00842363"/>
    <w:rsid w:val="00845A97"/>
    <w:rsid w:val="008523A7"/>
    <w:rsid w:val="008531A1"/>
    <w:rsid w:val="00854B14"/>
    <w:rsid w:val="00855CA9"/>
    <w:rsid w:val="0086093F"/>
    <w:rsid w:val="00865F96"/>
    <w:rsid w:val="00870542"/>
    <w:rsid w:val="0087313E"/>
    <w:rsid w:val="008776C6"/>
    <w:rsid w:val="008935A6"/>
    <w:rsid w:val="008951C7"/>
    <w:rsid w:val="00895598"/>
    <w:rsid w:val="008976D6"/>
    <w:rsid w:val="008A20C1"/>
    <w:rsid w:val="008A3389"/>
    <w:rsid w:val="008A39FF"/>
    <w:rsid w:val="008C536E"/>
    <w:rsid w:val="008C69CD"/>
    <w:rsid w:val="008D0A74"/>
    <w:rsid w:val="008D12E4"/>
    <w:rsid w:val="008D3E28"/>
    <w:rsid w:val="008D5206"/>
    <w:rsid w:val="008D5AAC"/>
    <w:rsid w:val="008D76BF"/>
    <w:rsid w:val="008E3124"/>
    <w:rsid w:val="008E5F8B"/>
    <w:rsid w:val="008F5AD1"/>
    <w:rsid w:val="008F60C3"/>
    <w:rsid w:val="009074A8"/>
    <w:rsid w:val="00907607"/>
    <w:rsid w:val="009128CC"/>
    <w:rsid w:val="00912D00"/>
    <w:rsid w:val="009151B1"/>
    <w:rsid w:val="00935874"/>
    <w:rsid w:val="00935B12"/>
    <w:rsid w:val="00936E45"/>
    <w:rsid w:val="00941B9A"/>
    <w:rsid w:val="00947A6C"/>
    <w:rsid w:val="00950BB1"/>
    <w:rsid w:val="00956305"/>
    <w:rsid w:val="0095794D"/>
    <w:rsid w:val="00961B74"/>
    <w:rsid w:val="009635C7"/>
    <w:rsid w:val="00966399"/>
    <w:rsid w:val="009671B1"/>
    <w:rsid w:val="00980A2E"/>
    <w:rsid w:val="00982895"/>
    <w:rsid w:val="0098394A"/>
    <w:rsid w:val="00985475"/>
    <w:rsid w:val="009931F9"/>
    <w:rsid w:val="00994ACC"/>
    <w:rsid w:val="009A0858"/>
    <w:rsid w:val="009A5242"/>
    <w:rsid w:val="009B11DE"/>
    <w:rsid w:val="009B41B6"/>
    <w:rsid w:val="009C012E"/>
    <w:rsid w:val="009C0AF8"/>
    <w:rsid w:val="009D0850"/>
    <w:rsid w:val="009D1F89"/>
    <w:rsid w:val="009D2271"/>
    <w:rsid w:val="009D3097"/>
    <w:rsid w:val="009D41AB"/>
    <w:rsid w:val="009E0DAD"/>
    <w:rsid w:val="009F1035"/>
    <w:rsid w:val="009F4096"/>
    <w:rsid w:val="009F45D9"/>
    <w:rsid w:val="009F55B4"/>
    <w:rsid w:val="009F605A"/>
    <w:rsid w:val="009F645A"/>
    <w:rsid w:val="00A004F6"/>
    <w:rsid w:val="00A01278"/>
    <w:rsid w:val="00A01D6D"/>
    <w:rsid w:val="00A022A1"/>
    <w:rsid w:val="00A03D5A"/>
    <w:rsid w:val="00A06AC0"/>
    <w:rsid w:val="00A11237"/>
    <w:rsid w:val="00A143B5"/>
    <w:rsid w:val="00A14BB8"/>
    <w:rsid w:val="00A14DE3"/>
    <w:rsid w:val="00A247F5"/>
    <w:rsid w:val="00A27982"/>
    <w:rsid w:val="00A31035"/>
    <w:rsid w:val="00A35148"/>
    <w:rsid w:val="00A37C28"/>
    <w:rsid w:val="00A409EE"/>
    <w:rsid w:val="00A41B77"/>
    <w:rsid w:val="00A42117"/>
    <w:rsid w:val="00A52747"/>
    <w:rsid w:val="00A552D3"/>
    <w:rsid w:val="00A608AC"/>
    <w:rsid w:val="00A6558D"/>
    <w:rsid w:val="00A67348"/>
    <w:rsid w:val="00A72A04"/>
    <w:rsid w:val="00A75363"/>
    <w:rsid w:val="00A82A72"/>
    <w:rsid w:val="00A870C0"/>
    <w:rsid w:val="00A87796"/>
    <w:rsid w:val="00A959C4"/>
    <w:rsid w:val="00AA144F"/>
    <w:rsid w:val="00AA6599"/>
    <w:rsid w:val="00AA7B4C"/>
    <w:rsid w:val="00AB3210"/>
    <w:rsid w:val="00AB3C74"/>
    <w:rsid w:val="00AB4D44"/>
    <w:rsid w:val="00AB6C36"/>
    <w:rsid w:val="00AC0266"/>
    <w:rsid w:val="00AC31CF"/>
    <w:rsid w:val="00AC3AD2"/>
    <w:rsid w:val="00AD336A"/>
    <w:rsid w:val="00AD4929"/>
    <w:rsid w:val="00AE0D15"/>
    <w:rsid w:val="00AE2E3B"/>
    <w:rsid w:val="00AE3A55"/>
    <w:rsid w:val="00AE3B67"/>
    <w:rsid w:val="00AF04BF"/>
    <w:rsid w:val="00AF3866"/>
    <w:rsid w:val="00AF4357"/>
    <w:rsid w:val="00AF4609"/>
    <w:rsid w:val="00AF52D0"/>
    <w:rsid w:val="00AF5BB2"/>
    <w:rsid w:val="00AF6B1C"/>
    <w:rsid w:val="00B002CB"/>
    <w:rsid w:val="00B02460"/>
    <w:rsid w:val="00B06895"/>
    <w:rsid w:val="00B10E80"/>
    <w:rsid w:val="00B11FA6"/>
    <w:rsid w:val="00B12189"/>
    <w:rsid w:val="00B242AF"/>
    <w:rsid w:val="00B24B5D"/>
    <w:rsid w:val="00B2534E"/>
    <w:rsid w:val="00B3227B"/>
    <w:rsid w:val="00B42B0F"/>
    <w:rsid w:val="00B443CC"/>
    <w:rsid w:val="00B47991"/>
    <w:rsid w:val="00B50D25"/>
    <w:rsid w:val="00B57174"/>
    <w:rsid w:val="00B65C8B"/>
    <w:rsid w:val="00B66D9A"/>
    <w:rsid w:val="00B70616"/>
    <w:rsid w:val="00B72D01"/>
    <w:rsid w:val="00B73492"/>
    <w:rsid w:val="00B75FB8"/>
    <w:rsid w:val="00B84F3B"/>
    <w:rsid w:val="00B85059"/>
    <w:rsid w:val="00B86157"/>
    <w:rsid w:val="00B86A55"/>
    <w:rsid w:val="00B876D0"/>
    <w:rsid w:val="00B904E2"/>
    <w:rsid w:val="00B943C8"/>
    <w:rsid w:val="00B977A2"/>
    <w:rsid w:val="00B97C05"/>
    <w:rsid w:val="00BA0FEF"/>
    <w:rsid w:val="00BA1FCA"/>
    <w:rsid w:val="00BA2312"/>
    <w:rsid w:val="00BA364F"/>
    <w:rsid w:val="00BA6AF7"/>
    <w:rsid w:val="00BB0ABB"/>
    <w:rsid w:val="00BB7055"/>
    <w:rsid w:val="00BC265B"/>
    <w:rsid w:val="00BC3F8A"/>
    <w:rsid w:val="00BC4101"/>
    <w:rsid w:val="00BC4840"/>
    <w:rsid w:val="00BC511E"/>
    <w:rsid w:val="00BC585F"/>
    <w:rsid w:val="00BD05B1"/>
    <w:rsid w:val="00BD1BD6"/>
    <w:rsid w:val="00BD1E4F"/>
    <w:rsid w:val="00BD22CF"/>
    <w:rsid w:val="00BE5D81"/>
    <w:rsid w:val="00BF49FB"/>
    <w:rsid w:val="00C10635"/>
    <w:rsid w:val="00C15E3C"/>
    <w:rsid w:val="00C16545"/>
    <w:rsid w:val="00C23EAD"/>
    <w:rsid w:val="00C243EB"/>
    <w:rsid w:val="00C25481"/>
    <w:rsid w:val="00C30B6C"/>
    <w:rsid w:val="00C30C43"/>
    <w:rsid w:val="00C4021F"/>
    <w:rsid w:val="00C43E88"/>
    <w:rsid w:val="00C50A12"/>
    <w:rsid w:val="00C50D79"/>
    <w:rsid w:val="00C51881"/>
    <w:rsid w:val="00C537A9"/>
    <w:rsid w:val="00C5726D"/>
    <w:rsid w:val="00C63B8E"/>
    <w:rsid w:val="00C65638"/>
    <w:rsid w:val="00C7045B"/>
    <w:rsid w:val="00C714BB"/>
    <w:rsid w:val="00C72573"/>
    <w:rsid w:val="00C739A5"/>
    <w:rsid w:val="00C7491A"/>
    <w:rsid w:val="00C8126C"/>
    <w:rsid w:val="00C816E8"/>
    <w:rsid w:val="00C8189A"/>
    <w:rsid w:val="00C90869"/>
    <w:rsid w:val="00C921E1"/>
    <w:rsid w:val="00C925AA"/>
    <w:rsid w:val="00C93531"/>
    <w:rsid w:val="00C94F2F"/>
    <w:rsid w:val="00C9602B"/>
    <w:rsid w:val="00C97D54"/>
    <w:rsid w:val="00CA1447"/>
    <w:rsid w:val="00CA3648"/>
    <w:rsid w:val="00CA75F3"/>
    <w:rsid w:val="00CB300F"/>
    <w:rsid w:val="00CB6CC8"/>
    <w:rsid w:val="00CC1018"/>
    <w:rsid w:val="00CC1C80"/>
    <w:rsid w:val="00CC5A31"/>
    <w:rsid w:val="00CF72C1"/>
    <w:rsid w:val="00CF78DA"/>
    <w:rsid w:val="00D00043"/>
    <w:rsid w:val="00D00AA3"/>
    <w:rsid w:val="00D039EE"/>
    <w:rsid w:val="00D104F1"/>
    <w:rsid w:val="00D14D83"/>
    <w:rsid w:val="00D15BFB"/>
    <w:rsid w:val="00D15E77"/>
    <w:rsid w:val="00D20B34"/>
    <w:rsid w:val="00D23C07"/>
    <w:rsid w:val="00D2744C"/>
    <w:rsid w:val="00D3150C"/>
    <w:rsid w:val="00D34344"/>
    <w:rsid w:val="00D36F44"/>
    <w:rsid w:val="00D46351"/>
    <w:rsid w:val="00D5030C"/>
    <w:rsid w:val="00D505B0"/>
    <w:rsid w:val="00D51637"/>
    <w:rsid w:val="00D5405E"/>
    <w:rsid w:val="00D54E90"/>
    <w:rsid w:val="00D551B0"/>
    <w:rsid w:val="00D555F4"/>
    <w:rsid w:val="00D56309"/>
    <w:rsid w:val="00D6152C"/>
    <w:rsid w:val="00D72890"/>
    <w:rsid w:val="00D773E0"/>
    <w:rsid w:val="00D8705A"/>
    <w:rsid w:val="00D90AA7"/>
    <w:rsid w:val="00D91090"/>
    <w:rsid w:val="00D951B0"/>
    <w:rsid w:val="00DA18AA"/>
    <w:rsid w:val="00DA522E"/>
    <w:rsid w:val="00DB0307"/>
    <w:rsid w:val="00DB323F"/>
    <w:rsid w:val="00DB56A7"/>
    <w:rsid w:val="00DB579A"/>
    <w:rsid w:val="00DB5FB6"/>
    <w:rsid w:val="00DB7409"/>
    <w:rsid w:val="00DB790F"/>
    <w:rsid w:val="00DC4AC3"/>
    <w:rsid w:val="00DC5DC8"/>
    <w:rsid w:val="00DD177F"/>
    <w:rsid w:val="00DD46E5"/>
    <w:rsid w:val="00DD4B41"/>
    <w:rsid w:val="00DE63F1"/>
    <w:rsid w:val="00DF053F"/>
    <w:rsid w:val="00DF20EC"/>
    <w:rsid w:val="00DF2901"/>
    <w:rsid w:val="00E00B05"/>
    <w:rsid w:val="00E07152"/>
    <w:rsid w:val="00E11307"/>
    <w:rsid w:val="00E1557F"/>
    <w:rsid w:val="00E17778"/>
    <w:rsid w:val="00E262C8"/>
    <w:rsid w:val="00E273F9"/>
    <w:rsid w:val="00E51753"/>
    <w:rsid w:val="00E542A5"/>
    <w:rsid w:val="00E558C4"/>
    <w:rsid w:val="00E6063D"/>
    <w:rsid w:val="00E61185"/>
    <w:rsid w:val="00E72AAB"/>
    <w:rsid w:val="00E80E8D"/>
    <w:rsid w:val="00E866E4"/>
    <w:rsid w:val="00E867E6"/>
    <w:rsid w:val="00E87B5F"/>
    <w:rsid w:val="00E9135F"/>
    <w:rsid w:val="00E937DF"/>
    <w:rsid w:val="00E97868"/>
    <w:rsid w:val="00EA02C3"/>
    <w:rsid w:val="00EA2287"/>
    <w:rsid w:val="00EA77AC"/>
    <w:rsid w:val="00EB1C98"/>
    <w:rsid w:val="00EB27F0"/>
    <w:rsid w:val="00EC5A22"/>
    <w:rsid w:val="00EC7D87"/>
    <w:rsid w:val="00ED0D87"/>
    <w:rsid w:val="00ED392D"/>
    <w:rsid w:val="00ED4EFC"/>
    <w:rsid w:val="00ED792E"/>
    <w:rsid w:val="00EE0477"/>
    <w:rsid w:val="00EE3FB7"/>
    <w:rsid w:val="00EE5B87"/>
    <w:rsid w:val="00EF670A"/>
    <w:rsid w:val="00EF7295"/>
    <w:rsid w:val="00F003D4"/>
    <w:rsid w:val="00F007A2"/>
    <w:rsid w:val="00F02028"/>
    <w:rsid w:val="00F04914"/>
    <w:rsid w:val="00F06A0A"/>
    <w:rsid w:val="00F07162"/>
    <w:rsid w:val="00F122E2"/>
    <w:rsid w:val="00F13820"/>
    <w:rsid w:val="00F146AE"/>
    <w:rsid w:val="00F14992"/>
    <w:rsid w:val="00F15BFD"/>
    <w:rsid w:val="00F3323A"/>
    <w:rsid w:val="00F42CB2"/>
    <w:rsid w:val="00F46485"/>
    <w:rsid w:val="00F53575"/>
    <w:rsid w:val="00F578FC"/>
    <w:rsid w:val="00F60FE2"/>
    <w:rsid w:val="00F622CE"/>
    <w:rsid w:val="00F62B57"/>
    <w:rsid w:val="00F64B41"/>
    <w:rsid w:val="00F7164E"/>
    <w:rsid w:val="00F752C2"/>
    <w:rsid w:val="00F76417"/>
    <w:rsid w:val="00F7701A"/>
    <w:rsid w:val="00F85EAF"/>
    <w:rsid w:val="00F861DF"/>
    <w:rsid w:val="00F9013D"/>
    <w:rsid w:val="00F91977"/>
    <w:rsid w:val="00F94421"/>
    <w:rsid w:val="00F978BD"/>
    <w:rsid w:val="00FA41B8"/>
    <w:rsid w:val="00FA7066"/>
    <w:rsid w:val="00FB2AB8"/>
    <w:rsid w:val="00FB3207"/>
    <w:rsid w:val="00FB3A2C"/>
    <w:rsid w:val="00FB4B32"/>
    <w:rsid w:val="00FC5406"/>
    <w:rsid w:val="00FD5061"/>
    <w:rsid w:val="00FD58CC"/>
    <w:rsid w:val="00FE0CF9"/>
    <w:rsid w:val="00FE4F47"/>
    <w:rsid w:val="00FE6403"/>
    <w:rsid w:val="00FE6A66"/>
    <w:rsid w:val="00FF21B9"/>
    <w:rsid w:val="00FF4D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15910B"/>
  <w15:docId w15:val="{4FEC586C-0C8B-0048-9F40-27FDFEFFB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46A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58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
    <w:name w:val="Grid Table 1 Light - Accent 11"/>
    <w:basedOn w:val="TableNormal"/>
    <w:uiPriority w:val="46"/>
    <w:rsid w:val="00BC585F"/>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4-Accent11">
    <w:name w:val="Grid Table 4 - Accent 11"/>
    <w:basedOn w:val="TableNormal"/>
    <w:uiPriority w:val="49"/>
    <w:rsid w:val="00BC585F"/>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Hyperlink">
    <w:name w:val="Hyperlink"/>
    <w:basedOn w:val="DefaultParagraphFont"/>
    <w:uiPriority w:val="99"/>
    <w:unhideWhenUsed/>
    <w:rsid w:val="005C4312"/>
    <w:rPr>
      <w:color w:val="0563C1" w:themeColor="hyperlink"/>
      <w:u w:val="single"/>
    </w:rPr>
  </w:style>
  <w:style w:type="character" w:styleId="FollowedHyperlink">
    <w:name w:val="FollowedHyperlink"/>
    <w:basedOn w:val="DefaultParagraphFont"/>
    <w:uiPriority w:val="99"/>
    <w:semiHidden/>
    <w:unhideWhenUsed/>
    <w:rsid w:val="005C4312"/>
    <w:rPr>
      <w:color w:val="954F72" w:themeColor="followedHyperlink"/>
      <w:u w:val="single"/>
    </w:rPr>
  </w:style>
  <w:style w:type="character" w:styleId="PlaceholderText">
    <w:name w:val="Placeholder Text"/>
    <w:basedOn w:val="DefaultParagraphFont"/>
    <w:uiPriority w:val="99"/>
    <w:semiHidden/>
    <w:rsid w:val="006C5D78"/>
    <w:rPr>
      <w:color w:val="808080"/>
    </w:rPr>
  </w:style>
  <w:style w:type="paragraph" w:styleId="ListParagraph">
    <w:name w:val="List Paragraph"/>
    <w:basedOn w:val="Normal"/>
    <w:uiPriority w:val="34"/>
    <w:qFormat/>
    <w:rsid w:val="00066AF7"/>
    <w:pPr>
      <w:ind w:left="720"/>
      <w:contextualSpacing/>
    </w:pPr>
    <w:rPr>
      <w:rFonts w:asciiTheme="minorHAnsi" w:eastAsiaTheme="minorHAnsi" w:hAnsiTheme="minorHAnsi" w:cstheme="minorBidi"/>
    </w:rPr>
  </w:style>
  <w:style w:type="paragraph" w:styleId="NormalWeb">
    <w:name w:val="Normal (Web)"/>
    <w:basedOn w:val="Normal"/>
    <w:uiPriority w:val="99"/>
    <w:unhideWhenUsed/>
    <w:rsid w:val="00820432"/>
    <w:pPr>
      <w:spacing w:before="100" w:beforeAutospacing="1" w:after="100" w:afterAutospacing="1"/>
    </w:pPr>
  </w:style>
  <w:style w:type="character" w:customStyle="1" w:styleId="UnresolvedMention1">
    <w:name w:val="Unresolved Mention1"/>
    <w:basedOn w:val="DefaultParagraphFont"/>
    <w:uiPriority w:val="99"/>
    <w:rsid w:val="00FD5061"/>
    <w:rPr>
      <w:color w:val="605E5C"/>
      <w:shd w:val="clear" w:color="auto" w:fill="E1DFDD"/>
    </w:rPr>
  </w:style>
  <w:style w:type="paragraph" w:styleId="Caption">
    <w:name w:val="caption"/>
    <w:basedOn w:val="Normal"/>
    <w:next w:val="Normal"/>
    <w:uiPriority w:val="35"/>
    <w:unhideWhenUsed/>
    <w:qFormat/>
    <w:rsid w:val="00276915"/>
    <w:pPr>
      <w:spacing w:after="200"/>
    </w:pPr>
    <w:rPr>
      <w:rFonts w:asciiTheme="minorHAnsi" w:eastAsiaTheme="minorHAnsi" w:hAnsiTheme="minorHAnsi" w:cstheme="minorBidi"/>
      <w:i/>
      <w:iCs/>
      <w:color w:val="44546A" w:themeColor="text2"/>
      <w:sz w:val="18"/>
      <w:szCs w:val="18"/>
    </w:rPr>
  </w:style>
  <w:style w:type="paragraph" w:styleId="BalloonText">
    <w:name w:val="Balloon Text"/>
    <w:basedOn w:val="Normal"/>
    <w:link w:val="BalloonTextChar"/>
    <w:uiPriority w:val="99"/>
    <w:semiHidden/>
    <w:unhideWhenUsed/>
    <w:rsid w:val="002C1249"/>
    <w:rPr>
      <w:rFonts w:ascii="Lucida Grande" w:eastAsiaTheme="minorHAnsi" w:hAnsi="Lucida Grande"/>
      <w:sz w:val="18"/>
      <w:szCs w:val="18"/>
    </w:rPr>
  </w:style>
  <w:style w:type="character" w:customStyle="1" w:styleId="BalloonTextChar">
    <w:name w:val="Balloon Text Char"/>
    <w:basedOn w:val="DefaultParagraphFont"/>
    <w:link w:val="BalloonText"/>
    <w:uiPriority w:val="99"/>
    <w:semiHidden/>
    <w:rsid w:val="002C1249"/>
    <w:rPr>
      <w:rFonts w:ascii="Lucida Grande" w:hAnsi="Lucida Grande" w:cs="Times New Roman"/>
      <w:sz w:val="18"/>
      <w:szCs w:val="18"/>
    </w:rPr>
  </w:style>
  <w:style w:type="character" w:customStyle="1" w:styleId="apple-converted-space">
    <w:name w:val="apple-converted-space"/>
    <w:basedOn w:val="DefaultParagraphFont"/>
    <w:rsid w:val="00956305"/>
  </w:style>
  <w:style w:type="character" w:styleId="UnresolvedMention">
    <w:name w:val="Unresolved Mention"/>
    <w:basedOn w:val="DefaultParagraphFont"/>
    <w:uiPriority w:val="99"/>
    <w:semiHidden/>
    <w:unhideWhenUsed/>
    <w:rsid w:val="00D46351"/>
    <w:rPr>
      <w:color w:val="605E5C"/>
      <w:shd w:val="clear" w:color="auto" w:fill="E1DFDD"/>
    </w:rPr>
  </w:style>
  <w:style w:type="paragraph" w:customStyle="1" w:styleId="Paragraph">
    <w:name w:val="Paragraph"/>
    <w:basedOn w:val="Normal"/>
    <w:qFormat/>
    <w:rsid w:val="006424D6"/>
    <w:pPr>
      <w:tabs>
        <w:tab w:val="left" w:pos="340"/>
      </w:tabs>
      <w:suppressAutoHyphens/>
      <w:ind w:firstLine="284"/>
      <w:jc w:val="both"/>
    </w:pPr>
    <w:rPr>
      <w:rFonts w:ascii="Times" w:hAnsi="Times" w:cs="New York"/>
      <w:sz w:val="20"/>
      <w:szCs w:val="20"/>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28599">
      <w:bodyDiv w:val="1"/>
      <w:marLeft w:val="0"/>
      <w:marRight w:val="0"/>
      <w:marTop w:val="0"/>
      <w:marBottom w:val="0"/>
      <w:divBdr>
        <w:top w:val="none" w:sz="0" w:space="0" w:color="auto"/>
        <w:left w:val="none" w:sz="0" w:space="0" w:color="auto"/>
        <w:bottom w:val="none" w:sz="0" w:space="0" w:color="auto"/>
        <w:right w:val="none" w:sz="0" w:space="0" w:color="auto"/>
      </w:divBdr>
    </w:div>
    <w:div w:id="68356563">
      <w:bodyDiv w:val="1"/>
      <w:marLeft w:val="0"/>
      <w:marRight w:val="0"/>
      <w:marTop w:val="0"/>
      <w:marBottom w:val="0"/>
      <w:divBdr>
        <w:top w:val="none" w:sz="0" w:space="0" w:color="auto"/>
        <w:left w:val="none" w:sz="0" w:space="0" w:color="auto"/>
        <w:bottom w:val="none" w:sz="0" w:space="0" w:color="auto"/>
        <w:right w:val="none" w:sz="0" w:space="0" w:color="auto"/>
      </w:divBdr>
    </w:div>
    <w:div w:id="131026896">
      <w:bodyDiv w:val="1"/>
      <w:marLeft w:val="0"/>
      <w:marRight w:val="0"/>
      <w:marTop w:val="0"/>
      <w:marBottom w:val="0"/>
      <w:divBdr>
        <w:top w:val="none" w:sz="0" w:space="0" w:color="auto"/>
        <w:left w:val="none" w:sz="0" w:space="0" w:color="auto"/>
        <w:bottom w:val="none" w:sz="0" w:space="0" w:color="auto"/>
        <w:right w:val="none" w:sz="0" w:space="0" w:color="auto"/>
      </w:divBdr>
      <w:divsChild>
        <w:div w:id="720984551">
          <w:marLeft w:val="0"/>
          <w:marRight w:val="0"/>
          <w:marTop w:val="0"/>
          <w:marBottom w:val="0"/>
          <w:divBdr>
            <w:top w:val="none" w:sz="0" w:space="0" w:color="auto"/>
            <w:left w:val="none" w:sz="0" w:space="0" w:color="auto"/>
            <w:bottom w:val="none" w:sz="0" w:space="0" w:color="auto"/>
            <w:right w:val="none" w:sz="0" w:space="0" w:color="auto"/>
          </w:divBdr>
          <w:divsChild>
            <w:div w:id="615867964">
              <w:marLeft w:val="0"/>
              <w:marRight w:val="0"/>
              <w:marTop w:val="0"/>
              <w:marBottom w:val="0"/>
              <w:divBdr>
                <w:top w:val="none" w:sz="0" w:space="0" w:color="auto"/>
                <w:left w:val="none" w:sz="0" w:space="0" w:color="auto"/>
                <w:bottom w:val="none" w:sz="0" w:space="0" w:color="auto"/>
                <w:right w:val="none" w:sz="0" w:space="0" w:color="auto"/>
              </w:divBdr>
              <w:divsChild>
                <w:div w:id="1093744164">
                  <w:marLeft w:val="0"/>
                  <w:marRight w:val="0"/>
                  <w:marTop w:val="0"/>
                  <w:marBottom w:val="0"/>
                  <w:divBdr>
                    <w:top w:val="none" w:sz="0" w:space="0" w:color="auto"/>
                    <w:left w:val="none" w:sz="0" w:space="0" w:color="auto"/>
                    <w:bottom w:val="none" w:sz="0" w:space="0" w:color="auto"/>
                    <w:right w:val="none" w:sz="0" w:space="0" w:color="auto"/>
                  </w:divBdr>
                  <w:divsChild>
                    <w:div w:id="68243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752481">
      <w:bodyDiv w:val="1"/>
      <w:marLeft w:val="0"/>
      <w:marRight w:val="0"/>
      <w:marTop w:val="0"/>
      <w:marBottom w:val="0"/>
      <w:divBdr>
        <w:top w:val="none" w:sz="0" w:space="0" w:color="auto"/>
        <w:left w:val="none" w:sz="0" w:space="0" w:color="auto"/>
        <w:bottom w:val="none" w:sz="0" w:space="0" w:color="auto"/>
        <w:right w:val="none" w:sz="0" w:space="0" w:color="auto"/>
      </w:divBdr>
    </w:div>
    <w:div w:id="203641326">
      <w:bodyDiv w:val="1"/>
      <w:marLeft w:val="0"/>
      <w:marRight w:val="0"/>
      <w:marTop w:val="0"/>
      <w:marBottom w:val="0"/>
      <w:divBdr>
        <w:top w:val="none" w:sz="0" w:space="0" w:color="auto"/>
        <w:left w:val="none" w:sz="0" w:space="0" w:color="auto"/>
        <w:bottom w:val="none" w:sz="0" w:space="0" w:color="auto"/>
        <w:right w:val="none" w:sz="0" w:space="0" w:color="auto"/>
      </w:divBdr>
    </w:div>
    <w:div w:id="333194349">
      <w:bodyDiv w:val="1"/>
      <w:marLeft w:val="0"/>
      <w:marRight w:val="0"/>
      <w:marTop w:val="0"/>
      <w:marBottom w:val="0"/>
      <w:divBdr>
        <w:top w:val="none" w:sz="0" w:space="0" w:color="auto"/>
        <w:left w:val="none" w:sz="0" w:space="0" w:color="auto"/>
        <w:bottom w:val="none" w:sz="0" w:space="0" w:color="auto"/>
        <w:right w:val="none" w:sz="0" w:space="0" w:color="auto"/>
      </w:divBdr>
      <w:divsChild>
        <w:div w:id="761953309">
          <w:marLeft w:val="0"/>
          <w:marRight w:val="0"/>
          <w:marTop w:val="0"/>
          <w:marBottom w:val="0"/>
          <w:divBdr>
            <w:top w:val="none" w:sz="0" w:space="0" w:color="auto"/>
            <w:left w:val="none" w:sz="0" w:space="0" w:color="auto"/>
            <w:bottom w:val="none" w:sz="0" w:space="0" w:color="auto"/>
            <w:right w:val="none" w:sz="0" w:space="0" w:color="auto"/>
          </w:divBdr>
          <w:divsChild>
            <w:div w:id="2141920486">
              <w:marLeft w:val="0"/>
              <w:marRight w:val="0"/>
              <w:marTop w:val="0"/>
              <w:marBottom w:val="0"/>
              <w:divBdr>
                <w:top w:val="none" w:sz="0" w:space="0" w:color="auto"/>
                <w:left w:val="none" w:sz="0" w:space="0" w:color="auto"/>
                <w:bottom w:val="none" w:sz="0" w:space="0" w:color="auto"/>
                <w:right w:val="none" w:sz="0" w:space="0" w:color="auto"/>
              </w:divBdr>
              <w:divsChild>
                <w:div w:id="1809933279">
                  <w:marLeft w:val="0"/>
                  <w:marRight w:val="0"/>
                  <w:marTop w:val="0"/>
                  <w:marBottom w:val="0"/>
                  <w:divBdr>
                    <w:top w:val="none" w:sz="0" w:space="0" w:color="auto"/>
                    <w:left w:val="none" w:sz="0" w:space="0" w:color="auto"/>
                    <w:bottom w:val="none" w:sz="0" w:space="0" w:color="auto"/>
                    <w:right w:val="none" w:sz="0" w:space="0" w:color="auto"/>
                  </w:divBdr>
                  <w:divsChild>
                    <w:div w:id="72745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318589">
      <w:bodyDiv w:val="1"/>
      <w:marLeft w:val="0"/>
      <w:marRight w:val="0"/>
      <w:marTop w:val="0"/>
      <w:marBottom w:val="0"/>
      <w:divBdr>
        <w:top w:val="none" w:sz="0" w:space="0" w:color="auto"/>
        <w:left w:val="none" w:sz="0" w:space="0" w:color="auto"/>
        <w:bottom w:val="none" w:sz="0" w:space="0" w:color="auto"/>
        <w:right w:val="none" w:sz="0" w:space="0" w:color="auto"/>
      </w:divBdr>
    </w:div>
    <w:div w:id="425425926">
      <w:bodyDiv w:val="1"/>
      <w:marLeft w:val="0"/>
      <w:marRight w:val="0"/>
      <w:marTop w:val="0"/>
      <w:marBottom w:val="0"/>
      <w:divBdr>
        <w:top w:val="none" w:sz="0" w:space="0" w:color="auto"/>
        <w:left w:val="none" w:sz="0" w:space="0" w:color="auto"/>
        <w:bottom w:val="none" w:sz="0" w:space="0" w:color="auto"/>
        <w:right w:val="none" w:sz="0" w:space="0" w:color="auto"/>
      </w:divBdr>
    </w:div>
    <w:div w:id="500435698">
      <w:bodyDiv w:val="1"/>
      <w:marLeft w:val="0"/>
      <w:marRight w:val="0"/>
      <w:marTop w:val="0"/>
      <w:marBottom w:val="0"/>
      <w:divBdr>
        <w:top w:val="none" w:sz="0" w:space="0" w:color="auto"/>
        <w:left w:val="none" w:sz="0" w:space="0" w:color="auto"/>
        <w:bottom w:val="none" w:sz="0" w:space="0" w:color="auto"/>
        <w:right w:val="none" w:sz="0" w:space="0" w:color="auto"/>
      </w:divBdr>
    </w:div>
    <w:div w:id="569583361">
      <w:bodyDiv w:val="1"/>
      <w:marLeft w:val="0"/>
      <w:marRight w:val="0"/>
      <w:marTop w:val="0"/>
      <w:marBottom w:val="0"/>
      <w:divBdr>
        <w:top w:val="none" w:sz="0" w:space="0" w:color="auto"/>
        <w:left w:val="none" w:sz="0" w:space="0" w:color="auto"/>
        <w:bottom w:val="none" w:sz="0" w:space="0" w:color="auto"/>
        <w:right w:val="none" w:sz="0" w:space="0" w:color="auto"/>
      </w:divBdr>
      <w:divsChild>
        <w:div w:id="796727976">
          <w:marLeft w:val="0"/>
          <w:marRight w:val="0"/>
          <w:marTop w:val="0"/>
          <w:marBottom w:val="0"/>
          <w:divBdr>
            <w:top w:val="none" w:sz="0" w:space="0" w:color="auto"/>
            <w:left w:val="none" w:sz="0" w:space="0" w:color="auto"/>
            <w:bottom w:val="none" w:sz="0" w:space="0" w:color="auto"/>
            <w:right w:val="none" w:sz="0" w:space="0" w:color="auto"/>
          </w:divBdr>
        </w:div>
        <w:div w:id="1086268853">
          <w:marLeft w:val="0"/>
          <w:marRight w:val="0"/>
          <w:marTop w:val="0"/>
          <w:marBottom w:val="0"/>
          <w:divBdr>
            <w:top w:val="none" w:sz="0" w:space="0" w:color="auto"/>
            <w:left w:val="none" w:sz="0" w:space="0" w:color="auto"/>
            <w:bottom w:val="none" w:sz="0" w:space="0" w:color="auto"/>
            <w:right w:val="none" w:sz="0" w:space="0" w:color="auto"/>
          </w:divBdr>
        </w:div>
      </w:divsChild>
    </w:div>
    <w:div w:id="664019285">
      <w:bodyDiv w:val="1"/>
      <w:marLeft w:val="0"/>
      <w:marRight w:val="0"/>
      <w:marTop w:val="0"/>
      <w:marBottom w:val="0"/>
      <w:divBdr>
        <w:top w:val="none" w:sz="0" w:space="0" w:color="auto"/>
        <w:left w:val="none" w:sz="0" w:space="0" w:color="auto"/>
        <w:bottom w:val="none" w:sz="0" w:space="0" w:color="auto"/>
        <w:right w:val="none" w:sz="0" w:space="0" w:color="auto"/>
      </w:divBdr>
    </w:div>
    <w:div w:id="696854471">
      <w:bodyDiv w:val="1"/>
      <w:marLeft w:val="0"/>
      <w:marRight w:val="0"/>
      <w:marTop w:val="0"/>
      <w:marBottom w:val="0"/>
      <w:divBdr>
        <w:top w:val="none" w:sz="0" w:space="0" w:color="auto"/>
        <w:left w:val="none" w:sz="0" w:space="0" w:color="auto"/>
        <w:bottom w:val="none" w:sz="0" w:space="0" w:color="auto"/>
        <w:right w:val="none" w:sz="0" w:space="0" w:color="auto"/>
      </w:divBdr>
    </w:div>
    <w:div w:id="727387091">
      <w:bodyDiv w:val="1"/>
      <w:marLeft w:val="0"/>
      <w:marRight w:val="0"/>
      <w:marTop w:val="0"/>
      <w:marBottom w:val="0"/>
      <w:divBdr>
        <w:top w:val="none" w:sz="0" w:space="0" w:color="auto"/>
        <w:left w:val="none" w:sz="0" w:space="0" w:color="auto"/>
        <w:bottom w:val="none" w:sz="0" w:space="0" w:color="auto"/>
        <w:right w:val="none" w:sz="0" w:space="0" w:color="auto"/>
      </w:divBdr>
    </w:div>
    <w:div w:id="735470882">
      <w:bodyDiv w:val="1"/>
      <w:marLeft w:val="0"/>
      <w:marRight w:val="0"/>
      <w:marTop w:val="0"/>
      <w:marBottom w:val="0"/>
      <w:divBdr>
        <w:top w:val="none" w:sz="0" w:space="0" w:color="auto"/>
        <w:left w:val="none" w:sz="0" w:space="0" w:color="auto"/>
        <w:bottom w:val="none" w:sz="0" w:space="0" w:color="auto"/>
        <w:right w:val="none" w:sz="0" w:space="0" w:color="auto"/>
      </w:divBdr>
    </w:div>
    <w:div w:id="745609611">
      <w:bodyDiv w:val="1"/>
      <w:marLeft w:val="0"/>
      <w:marRight w:val="0"/>
      <w:marTop w:val="0"/>
      <w:marBottom w:val="0"/>
      <w:divBdr>
        <w:top w:val="none" w:sz="0" w:space="0" w:color="auto"/>
        <w:left w:val="none" w:sz="0" w:space="0" w:color="auto"/>
        <w:bottom w:val="none" w:sz="0" w:space="0" w:color="auto"/>
        <w:right w:val="none" w:sz="0" w:space="0" w:color="auto"/>
      </w:divBdr>
      <w:divsChild>
        <w:div w:id="1984502530">
          <w:marLeft w:val="0"/>
          <w:marRight w:val="0"/>
          <w:marTop w:val="0"/>
          <w:marBottom w:val="0"/>
          <w:divBdr>
            <w:top w:val="none" w:sz="0" w:space="0" w:color="auto"/>
            <w:left w:val="none" w:sz="0" w:space="0" w:color="auto"/>
            <w:bottom w:val="none" w:sz="0" w:space="0" w:color="auto"/>
            <w:right w:val="none" w:sz="0" w:space="0" w:color="auto"/>
          </w:divBdr>
          <w:divsChild>
            <w:div w:id="1020857288">
              <w:marLeft w:val="0"/>
              <w:marRight w:val="0"/>
              <w:marTop w:val="0"/>
              <w:marBottom w:val="0"/>
              <w:divBdr>
                <w:top w:val="none" w:sz="0" w:space="0" w:color="auto"/>
                <w:left w:val="none" w:sz="0" w:space="0" w:color="auto"/>
                <w:bottom w:val="none" w:sz="0" w:space="0" w:color="auto"/>
                <w:right w:val="none" w:sz="0" w:space="0" w:color="auto"/>
              </w:divBdr>
              <w:divsChild>
                <w:div w:id="583882206">
                  <w:marLeft w:val="0"/>
                  <w:marRight w:val="0"/>
                  <w:marTop w:val="0"/>
                  <w:marBottom w:val="0"/>
                  <w:divBdr>
                    <w:top w:val="none" w:sz="0" w:space="0" w:color="auto"/>
                    <w:left w:val="none" w:sz="0" w:space="0" w:color="auto"/>
                    <w:bottom w:val="none" w:sz="0" w:space="0" w:color="auto"/>
                    <w:right w:val="none" w:sz="0" w:space="0" w:color="auto"/>
                  </w:divBdr>
                  <w:divsChild>
                    <w:div w:id="124992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1772750">
      <w:bodyDiv w:val="1"/>
      <w:marLeft w:val="0"/>
      <w:marRight w:val="0"/>
      <w:marTop w:val="0"/>
      <w:marBottom w:val="0"/>
      <w:divBdr>
        <w:top w:val="none" w:sz="0" w:space="0" w:color="auto"/>
        <w:left w:val="none" w:sz="0" w:space="0" w:color="auto"/>
        <w:bottom w:val="none" w:sz="0" w:space="0" w:color="auto"/>
        <w:right w:val="none" w:sz="0" w:space="0" w:color="auto"/>
      </w:divBdr>
    </w:div>
    <w:div w:id="838160898">
      <w:bodyDiv w:val="1"/>
      <w:marLeft w:val="0"/>
      <w:marRight w:val="0"/>
      <w:marTop w:val="0"/>
      <w:marBottom w:val="0"/>
      <w:divBdr>
        <w:top w:val="none" w:sz="0" w:space="0" w:color="auto"/>
        <w:left w:val="none" w:sz="0" w:space="0" w:color="auto"/>
        <w:bottom w:val="none" w:sz="0" w:space="0" w:color="auto"/>
        <w:right w:val="none" w:sz="0" w:space="0" w:color="auto"/>
      </w:divBdr>
    </w:div>
    <w:div w:id="860049884">
      <w:bodyDiv w:val="1"/>
      <w:marLeft w:val="0"/>
      <w:marRight w:val="0"/>
      <w:marTop w:val="0"/>
      <w:marBottom w:val="0"/>
      <w:divBdr>
        <w:top w:val="none" w:sz="0" w:space="0" w:color="auto"/>
        <w:left w:val="none" w:sz="0" w:space="0" w:color="auto"/>
        <w:bottom w:val="none" w:sz="0" w:space="0" w:color="auto"/>
        <w:right w:val="none" w:sz="0" w:space="0" w:color="auto"/>
      </w:divBdr>
    </w:div>
    <w:div w:id="941111598">
      <w:bodyDiv w:val="1"/>
      <w:marLeft w:val="0"/>
      <w:marRight w:val="0"/>
      <w:marTop w:val="0"/>
      <w:marBottom w:val="0"/>
      <w:divBdr>
        <w:top w:val="none" w:sz="0" w:space="0" w:color="auto"/>
        <w:left w:val="none" w:sz="0" w:space="0" w:color="auto"/>
        <w:bottom w:val="none" w:sz="0" w:space="0" w:color="auto"/>
        <w:right w:val="none" w:sz="0" w:space="0" w:color="auto"/>
      </w:divBdr>
    </w:div>
    <w:div w:id="945888928">
      <w:bodyDiv w:val="1"/>
      <w:marLeft w:val="0"/>
      <w:marRight w:val="0"/>
      <w:marTop w:val="0"/>
      <w:marBottom w:val="0"/>
      <w:divBdr>
        <w:top w:val="none" w:sz="0" w:space="0" w:color="auto"/>
        <w:left w:val="none" w:sz="0" w:space="0" w:color="auto"/>
        <w:bottom w:val="none" w:sz="0" w:space="0" w:color="auto"/>
        <w:right w:val="none" w:sz="0" w:space="0" w:color="auto"/>
      </w:divBdr>
    </w:div>
    <w:div w:id="989556063">
      <w:bodyDiv w:val="1"/>
      <w:marLeft w:val="0"/>
      <w:marRight w:val="0"/>
      <w:marTop w:val="0"/>
      <w:marBottom w:val="0"/>
      <w:divBdr>
        <w:top w:val="none" w:sz="0" w:space="0" w:color="auto"/>
        <w:left w:val="none" w:sz="0" w:space="0" w:color="auto"/>
        <w:bottom w:val="none" w:sz="0" w:space="0" w:color="auto"/>
        <w:right w:val="none" w:sz="0" w:space="0" w:color="auto"/>
      </w:divBdr>
    </w:div>
    <w:div w:id="1077675538">
      <w:bodyDiv w:val="1"/>
      <w:marLeft w:val="0"/>
      <w:marRight w:val="0"/>
      <w:marTop w:val="0"/>
      <w:marBottom w:val="0"/>
      <w:divBdr>
        <w:top w:val="none" w:sz="0" w:space="0" w:color="auto"/>
        <w:left w:val="none" w:sz="0" w:space="0" w:color="auto"/>
        <w:bottom w:val="none" w:sz="0" w:space="0" w:color="auto"/>
        <w:right w:val="none" w:sz="0" w:space="0" w:color="auto"/>
      </w:divBdr>
    </w:div>
    <w:div w:id="1093287202">
      <w:bodyDiv w:val="1"/>
      <w:marLeft w:val="0"/>
      <w:marRight w:val="0"/>
      <w:marTop w:val="0"/>
      <w:marBottom w:val="0"/>
      <w:divBdr>
        <w:top w:val="none" w:sz="0" w:space="0" w:color="auto"/>
        <w:left w:val="none" w:sz="0" w:space="0" w:color="auto"/>
        <w:bottom w:val="none" w:sz="0" w:space="0" w:color="auto"/>
        <w:right w:val="none" w:sz="0" w:space="0" w:color="auto"/>
      </w:divBdr>
    </w:div>
    <w:div w:id="1102456401">
      <w:bodyDiv w:val="1"/>
      <w:marLeft w:val="0"/>
      <w:marRight w:val="0"/>
      <w:marTop w:val="0"/>
      <w:marBottom w:val="0"/>
      <w:divBdr>
        <w:top w:val="none" w:sz="0" w:space="0" w:color="auto"/>
        <w:left w:val="none" w:sz="0" w:space="0" w:color="auto"/>
        <w:bottom w:val="none" w:sz="0" w:space="0" w:color="auto"/>
        <w:right w:val="none" w:sz="0" w:space="0" w:color="auto"/>
      </w:divBdr>
    </w:div>
    <w:div w:id="1231695380">
      <w:bodyDiv w:val="1"/>
      <w:marLeft w:val="0"/>
      <w:marRight w:val="0"/>
      <w:marTop w:val="0"/>
      <w:marBottom w:val="0"/>
      <w:divBdr>
        <w:top w:val="none" w:sz="0" w:space="0" w:color="auto"/>
        <w:left w:val="none" w:sz="0" w:space="0" w:color="auto"/>
        <w:bottom w:val="none" w:sz="0" w:space="0" w:color="auto"/>
        <w:right w:val="none" w:sz="0" w:space="0" w:color="auto"/>
      </w:divBdr>
    </w:div>
    <w:div w:id="1249079665">
      <w:bodyDiv w:val="1"/>
      <w:marLeft w:val="0"/>
      <w:marRight w:val="0"/>
      <w:marTop w:val="0"/>
      <w:marBottom w:val="0"/>
      <w:divBdr>
        <w:top w:val="none" w:sz="0" w:space="0" w:color="auto"/>
        <w:left w:val="none" w:sz="0" w:space="0" w:color="auto"/>
        <w:bottom w:val="none" w:sz="0" w:space="0" w:color="auto"/>
        <w:right w:val="none" w:sz="0" w:space="0" w:color="auto"/>
      </w:divBdr>
    </w:div>
    <w:div w:id="1253513945">
      <w:bodyDiv w:val="1"/>
      <w:marLeft w:val="0"/>
      <w:marRight w:val="0"/>
      <w:marTop w:val="0"/>
      <w:marBottom w:val="0"/>
      <w:divBdr>
        <w:top w:val="none" w:sz="0" w:space="0" w:color="auto"/>
        <w:left w:val="none" w:sz="0" w:space="0" w:color="auto"/>
        <w:bottom w:val="none" w:sz="0" w:space="0" w:color="auto"/>
        <w:right w:val="none" w:sz="0" w:space="0" w:color="auto"/>
      </w:divBdr>
    </w:div>
    <w:div w:id="1335953484">
      <w:bodyDiv w:val="1"/>
      <w:marLeft w:val="0"/>
      <w:marRight w:val="0"/>
      <w:marTop w:val="0"/>
      <w:marBottom w:val="0"/>
      <w:divBdr>
        <w:top w:val="none" w:sz="0" w:space="0" w:color="auto"/>
        <w:left w:val="none" w:sz="0" w:space="0" w:color="auto"/>
        <w:bottom w:val="none" w:sz="0" w:space="0" w:color="auto"/>
        <w:right w:val="none" w:sz="0" w:space="0" w:color="auto"/>
      </w:divBdr>
      <w:divsChild>
        <w:div w:id="1804958037">
          <w:marLeft w:val="0"/>
          <w:marRight w:val="0"/>
          <w:marTop w:val="0"/>
          <w:marBottom w:val="0"/>
          <w:divBdr>
            <w:top w:val="none" w:sz="0" w:space="0" w:color="auto"/>
            <w:left w:val="none" w:sz="0" w:space="0" w:color="auto"/>
            <w:bottom w:val="none" w:sz="0" w:space="0" w:color="auto"/>
            <w:right w:val="none" w:sz="0" w:space="0" w:color="auto"/>
          </w:divBdr>
          <w:divsChild>
            <w:div w:id="1447193116">
              <w:marLeft w:val="0"/>
              <w:marRight w:val="0"/>
              <w:marTop w:val="0"/>
              <w:marBottom w:val="0"/>
              <w:divBdr>
                <w:top w:val="none" w:sz="0" w:space="0" w:color="auto"/>
                <w:left w:val="none" w:sz="0" w:space="0" w:color="auto"/>
                <w:bottom w:val="none" w:sz="0" w:space="0" w:color="auto"/>
                <w:right w:val="none" w:sz="0" w:space="0" w:color="auto"/>
              </w:divBdr>
              <w:divsChild>
                <w:div w:id="571893726">
                  <w:marLeft w:val="0"/>
                  <w:marRight w:val="0"/>
                  <w:marTop w:val="0"/>
                  <w:marBottom w:val="0"/>
                  <w:divBdr>
                    <w:top w:val="none" w:sz="0" w:space="0" w:color="auto"/>
                    <w:left w:val="none" w:sz="0" w:space="0" w:color="auto"/>
                    <w:bottom w:val="none" w:sz="0" w:space="0" w:color="auto"/>
                    <w:right w:val="none" w:sz="0" w:space="0" w:color="auto"/>
                  </w:divBdr>
                  <w:divsChild>
                    <w:div w:id="142475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640724">
      <w:bodyDiv w:val="1"/>
      <w:marLeft w:val="0"/>
      <w:marRight w:val="0"/>
      <w:marTop w:val="0"/>
      <w:marBottom w:val="0"/>
      <w:divBdr>
        <w:top w:val="none" w:sz="0" w:space="0" w:color="auto"/>
        <w:left w:val="none" w:sz="0" w:space="0" w:color="auto"/>
        <w:bottom w:val="none" w:sz="0" w:space="0" w:color="auto"/>
        <w:right w:val="none" w:sz="0" w:space="0" w:color="auto"/>
      </w:divBdr>
    </w:div>
    <w:div w:id="1390302772">
      <w:bodyDiv w:val="1"/>
      <w:marLeft w:val="0"/>
      <w:marRight w:val="0"/>
      <w:marTop w:val="0"/>
      <w:marBottom w:val="0"/>
      <w:divBdr>
        <w:top w:val="none" w:sz="0" w:space="0" w:color="auto"/>
        <w:left w:val="none" w:sz="0" w:space="0" w:color="auto"/>
        <w:bottom w:val="none" w:sz="0" w:space="0" w:color="auto"/>
        <w:right w:val="none" w:sz="0" w:space="0" w:color="auto"/>
      </w:divBdr>
      <w:divsChild>
        <w:div w:id="1360400041">
          <w:marLeft w:val="0"/>
          <w:marRight w:val="0"/>
          <w:marTop w:val="0"/>
          <w:marBottom w:val="0"/>
          <w:divBdr>
            <w:top w:val="none" w:sz="0" w:space="0" w:color="auto"/>
            <w:left w:val="none" w:sz="0" w:space="0" w:color="auto"/>
            <w:bottom w:val="none" w:sz="0" w:space="0" w:color="auto"/>
            <w:right w:val="none" w:sz="0" w:space="0" w:color="auto"/>
          </w:divBdr>
          <w:divsChild>
            <w:div w:id="1606229523">
              <w:marLeft w:val="0"/>
              <w:marRight w:val="0"/>
              <w:marTop w:val="0"/>
              <w:marBottom w:val="0"/>
              <w:divBdr>
                <w:top w:val="none" w:sz="0" w:space="0" w:color="auto"/>
                <w:left w:val="none" w:sz="0" w:space="0" w:color="auto"/>
                <w:bottom w:val="none" w:sz="0" w:space="0" w:color="auto"/>
                <w:right w:val="none" w:sz="0" w:space="0" w:color="auto"/>
              </w:divBdr>
              <w:divsChild>
                <w:div w:id="171064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433179">
          <w:marLeft w:val="0"/>
          <w:marRight w:val="0"/>
          <w:marTop w:val="0"/>
          <w:marBottom w:val="0"/>
          <w:divBdr>
            <w:top w:val="none" w:sz="0" w:space="0" w:color="auto"/>
            <w:left w:val="none" w:sz="0" w:space="0" w:color="auto"/>
            <w:bottom w:val="none" w:sz="0" w:space="0" w:color="auto"/>
            <w:right w:val="none" w:sz="0" w:space="0" w:color="auto"/>
          </w:divBdr>
          <w:divsChild>
            <w:div w:id="811413327">
              <w:marLeft w:val="0"/>
              <w:marRight w:val="0"/>
              <w:marTop w:val="0"/>
              <w:marBottom w:val="0"/>
              <w:divBdr>
                <w:top w:val="none" w:sz="0" w:space="0" w:color="auto"/>
                <w:left w:val="none" w:sz="0" w:space="0" w:color="auto"/>
                <w:bottom w:val="none" w:sz="0" w:space="0" w:color="auto"/>
                <w:right w:val="none" w:sz="0" w:space="0" w:color="auto"/>
              </w:divBdr>
              <w:divsChild>
                <w:div w:id="14536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836796">
      <w:bodyDiv w:val="1"/>
      <w:marLeft w:val="0"/>
      <w:marRight w:val="0"/>
      <w:marTop w:val="0"/>
      <w:marBottom w:val="0"/>
      <w:divBdr>
        <w:top w:val="none" w:sz="0" w:space="0" w:color="auto"/>
        <w:left w:val="none" w:sz="0" w:space="0" w:color="auto"/>
        <w:bottom w:val="none" w:sz="0" w:space="0" w:color="auto"/>
        <w:right w:val="none" w:sz="0" w:space="0" w:color="auto"/>
      </w:divBdr>
    </w:div>
    <w:div w:id="1433159044">
      <w:bodyDiv w:val="1"/>
      <w:marLeft w:val="0"/>
      <w:marRight w:val="0"/>
      <w:marTop w:val="0"/>
      <w:marBottom w:val="0"/>
      <w:divBdr>
        <w:top w:val="none" w:sz="0" w:space="0" w:color="auto"/>
        <w:left w:val="none" w:sz="0" w:space="0" w:color="auto"/>
        <w:bottom w:val="none" w:sz="0" w:space="0" w:color="auto"/>
        <w:right w:val="none" w:sz="0" w:space="0" w:color="auto"/>
      </w:divBdr>
    </w:div>
    <w:div w:id="1531531576">
      <w:bodyDiv w:val="1"/>
      <w:marLeft w:val="0"/>
      <w:marRight w:val="0"/>
      <w:marTop w:val="0"/>
      <w:marBottom w:val="0"/>
      <w:divBdr>
        <w:top w:val="none" w:sz="0" w:space="0" w:color="auto"/>
        <w:left w:val="none" w:sz="0" w:space="0" w:color="auto"/>
        <w:bottom w:val="none" w:sz="0" w:space="0" w:color="auto"/>
        <w:right w:val="none" w:sz="0" w:space="0" w:color="auto"/>
      </w:divBdr>
    </w:div>
    <w:div w:id="1545558327">
      <w:bodyDiv w:val="1"/>
      <w:marLeft w:val="0"/>
      <w:marRight w:val="0"/>
      <w:marTop w:val="0"/>
      <w:marBottom w:val="0"/>
      <w:divBdr>
        <w:top w:val="none" w:sz="0" w:space="0" w:color="auto"/>
        <w:left w:val="none" w:sz="0" w:space="0" w:color="auto"/>
        <w:bottom w:val="none" w:sz="0" w:space="0" w:color="auto"/>
        <w:right w:val="none" w:sz="0" w:space="0" w:color="auto"/>
      </w:divBdr>
    </w:div>
    <w:div w:id="1557468912">
      <w:bodyDiv w:val="1"/>
      <w:marLeft w:val="0"/>
      <w:marRight w:val="0"/>
      <w:marTop w:val="0"/>
      <w:marBottom w:val="0"/>
      <w:divBdr>
        <w:top w:val="none" w:sz="0" w:space="0" w:color="auto"/>
        <w:left w:val="none" w:sz="0" w:space="0" w:color="auto"/>
        <w:bottom w:val="none" w:sz="0" w:space="0" w:color="auto"/>
        <w:right w:val="none" w:sz="0" w:space="0" w:color="auto"/>
      </w:divBdr>
      <w:divsChild>
        <w:div w:id="53312810">
          <w:marLeft w:val="0"/>
          <w:marRight w:val="0"/>
          <w:marTop w:val="0"/>
          <w:marBottom w:val="0"/>
          <w:divBdr>
            <w:top w:val="none" w:sz="0" w:space="0" w:color="auto"/>
            <w:left w:val="none" w:sz="0" w:space="0" w:color="auto"/>
            <w:bottom w:val="none" w:sz="0" w:space="0" w:color="auto"/>
            <w:right w:val="none" w:sz="0" w:space="0" w:color="auto"/>
          </w:divBdr>
          <w:divsChild>
            <w:div w:id="1451388926">
              <w:marLeft w:val="0"/>
              <w:marRight w:val="0"/>
              <w:marTop w:val="0"/>
              <w:marBottom w:val="0"/>
              <w:divBdr>
                <w:top w:val="none" w:sz="0" w:space="0" w:color="auto"/>
                <w:left w:val="none" w:sz="0" w:space="0" w:color="auto"/>
                <w:bottom w:val="none" w:sz="0" w:space="0" w:color="auto"/>
                <w:right w:val="none" w:sz="0" w:space="0" w:color="auto"/>
              </w:divBdr>
              <w:divsChild>
                <w:div w:id="1414668856">
                  <w:marLeft w:val="0"/>
                  <w:marRight w:val="0"/>
                  <w:marTop w:val="0"/>
                  <w:marBottom w:val="0"/>
                  <w:divBdr>
                    <w:top w:val="none" w:sz="0" w:space="0" w:color="auto"/>
                    <w:left w:val="none" w:sz="0" w:space="0" w:color="auto"/>
                    <w:bottom w:val="none" w:sz="0" w:space="0" w:color="auto"/>
                    <w:right w:val="none" w:sz="0" w:space="0" w:color="auto"/>
                  </w:divBdr>
                  <w:divsChild>
                    <w:div w:id="207303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017993">
      <w:bodyDiv w:val="1"/>
      <w:marLeft w:val="0"/>
      <w:marRight w:val="0"/>
      <w:marTop w:val="0"/>
      <w:marBottom w:val="0"/>
      <w:divBdr>
        <w:top w:val="none" w:sz="0" w:space="0" w:color="auto"/>
        <w:left w:val="none" w:sz="0" w:space="0" w:color="auto"/>
        <w:bottom w:val="none" w:sz="0" w:space="0" w:color="auto"/>
        <w:right w:val="none" w:sz="0" w:space="0" w:color="auto"/>
      </w:divBdr>
    </w:div>
    <w:div w:id="1576863000">
      <w:bodyDiv w:val="1"/>
      <w:marLeft w:val="0"/>
      <w:marRight w:val="0"/>
      <w:marTop w:val="0"/>
      <w:marBottom w:val="0"/>
      <w:divBdr>
        <w:top w:val="none" w:sz="0" w:space="0" w:color="auto"/>
        <w:left w:val="none" w:sz="0" w:space="0" w:color="auto"/>
        <w:bottom w:val="none" w:sz="0" w:space="0" w:color="auto"/>
        <w:right w:val="none" w:sz="0" w:space="0" w:color="auto"/>
      </w:divBdr>
    </w:div>
    <w:div w:id="1581597935">
      <w:bodyDiv w:val="1"/>
      <w:marLeft w:val="0"/>
      <w:marRight w:val="0"/>
      <w:marTop w:val="0"/>
      <w:marBottom w:val="0"/>
      <w:divBdr>
        <w:top w:val="none" w:sz="0" w:space="0" w:color="auto"/>
        <w:left w:val="none" w:sz="0" w:space="0" w:color="auto"/>
        <w:bottom w:val="none" w:sz="0" w:space="0" w:color="auto"/>
        <w:right w:val="none" w:sz="0" w:space="0" w:color="auto"/>
      </w:divBdr>
    </w:div>
    <w:div w:id="1606229529">
      <w:bodyDiv w:val="1"/>
      <w:marLeft w:val="0"/>
      <w:marRight w:val="0"/>
      <w:marTop w:val="0"/>
      <w:marBottom w:val="0"/>
      <w:divBdr>
        <w:top w:val="none" w:sz="0" w:space="0" w:color="auto"/>
        <w:left w:val="none" w:sz="0" w:space="0" w:color="auto"/>
        <w:bottom w:val="none" w:sz="0" w:space="0" w:color="auto"/>
        <w:right w:val="none" w:sz="0" w:space="0" w:color="auto"/>
      </w:divBdr>
    </w:div>
    <w:div w:id="1743018134">
      <w:bodyDiv w:val="1"/>
      <w:marLeft w:val="0"/>
      <w:marRight w:val="0"/>
      <w:marTop w:val="0"/>
      <w:marBottom w:val="0"/>
      <w:divBdr>
        <w:top w:val="none" w:sz="0" w:space="0" w:color="auto"/>
        <w:left w:val="none" w:sz="0" w:space="0" w:color="auto"/>
        <w:bottom w:val="none" w:sz="0" w:space="0" w:color="auto"/>
        <w:right w:val="none" w:sz="0" w:space="0" w:color="auto"/>
      </w:divBdr>
    </w:div>
    <w:div w:id="1855991416">
      <w:bodyDiv w:val="1"/>
      <w:marLeft w:val="0"/>
      <w:marRight w:val="0"/>
      <w:marTop w:val="0"/>
      <w:marBottom w:val="0"/>
      <w:divBdr>
        <w:top w:val="none" w:sz="0" w:space="0" w:color="auto"/>
        <w:left w:val="none" w:sz="0" w:space="0" w:color="auto"/>
        <w:bottom w:val="none" w:sz="0" w:space="0" w:color="auto"/>
        <w:right w:val="none" w:sz="0" w:space="0" w:color="auto"/>
      </w:divBdr>
      <w:divsChild>
        <w:div w:id="464392640">
          <w:marLeft w:val="0"/>
          <w:marRight w:val="0"/>
          <w:marTop w:val="0"/>
          <w:marBottom w:val="0"/>
          <w:divBdr>
            <w:top w:val="none" w:sz="0" w:space="0" w:color="auto"/>
            <w:left w:val="none" w:sz="0" w:space="0" w:color="auto"/>
            <w:bottom w:val="none" w:sz="0" w:space="0" w:color="auto"/>
            <w:right w:val="none" w:sz="0" w:space="0" w:color="auto"/>
          </w:divBdr>
          <w:divsChild>
            <w:div w:id="1369990198">
              <w:marLeft w:val="0"/>
              <w:marRight w:val="0"/>
              <w:marTop w:val="0"/>
              <w:marBottom w:val="0"/>
              <w:divBdr>
                <w:top w:val="none" w:sz="0" w:space="0" w:color="auto"/>
                <w:left w:val="none" w:sz="0" w:space="0" w:color="auto"/>
                <w:bottom w:val="none" w:sz="0" w:space="0" w:color="auto"/>
                <w:right w:val="none" w:sz="0" w:space="0" w:color="auto"/>
              </w:divBdr>
              <w:divsChild>
                <w:div w:id="75833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052262">
      <w:bodyDiv w:val="1"/>
      <w:marLeft w:val="0"/>
      <w:marRight w:val="0"/>
      <w:marTop w:val="0"/>
      <w:marBottom w:val="0"/>
      <w:divBdr>
        <w:top w:val="none" w:sz="0" w:space="0" w:color="auto"/>
        <w:left w:val="none" w:sz="0" w:space="0" w:color="auto"/>
        <w:bottom w:val="none" w:sz="0" w:space="0" w:color="auto"/>
        <w:right w:val="none" w:sz="0" w:space="0" w:color="auto"/>
      </w:divBdr>
      <w:divsChild>
        <w:div w:id="1130050323">
          <w:marLeft w:val="0"/>
          <w:marRight w:val="0"/>
          <w:marTop w:val="0"/>
          <w:marBottom w:val="0"/>
          <w:divBdr>
            <w:top w:val="none" w:sz="0" w:space="0" w:color="auto"/>
            <w:left w:val="none" w:sz="0" w:space="0" w:color="auto"/>
            <w:bottom w:val="none" w:sz="0" w:space="0" w:color="auto"/>
            <w:right w:val="none" w:sz="0" w:space="0" w:color="auto"/>
          </w:divBdr>
          <w:divsChild>
            <w:div w:id="2117946762">
              <w:marLeft w:val="0"/>
              <w:marRight w:val="0"/>
              <w:marTop w:val="0"/>
              <w:marBottom w:val="0"/>
              <w:divBdr>
                <w:top w:val="none" w:sz="0" w:space="0" w:color="auto"/>
                <w:left w:val="none" w:sz="0" w:space="0" w:color="auto"/>
                <w:bottom w:val="none" w:sz="0" w:space="0" w:color="auto"/>
                <w:right w:val="none" w:sz="0" w:space="0" w:color="auto"/>
              </w:divBdr>
              <w:divsChild>
                <w:div w:id="44568584">
                  <w:marLeft w:val="0"/>
                  <w:marRight w:val="0"/>
                  <w:marTop w:val="0"/>
                  <w:marBottom w:val="0"/>
                  <w:divBdr>
                    <w:top w:val="none" w:sz="0" w:space="0" w:color="auto"/>
                    <w:left w:val="none" w:sz="0" w:space="0" w:color="auto"/>
                    <w:bottom w:val="none" w:sz="0" w:space="0" w:color="auto"/>
                    <w:right w:val="none" w:sz="0" w:space="0" w:color="auto"/>
                  </w:divBdr>
                  <w:divsChild>
                    <w:div w:id="51473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858719">
      <w:bodyDiv w:val="1"/>
      <w:marLeft w:val="0"/>
      <w:marRight w:val="0"/>
      <w:marTop w:val="0"/>
      <w:marBottom w:val="0"/>
      <w:divBdr>
        <w:top w:val="none" w:sz="0" w:space="0" w:color="auto"/>
        <w:left w:val="none" w:sz="0" w:space="0" w:color="auto"/>
        <w:bottom w:val="none" w:sz="0" w:space="0" w:color="auto"/>
        <w:right w:val="none" w:sz="0" w:space="0" w:color="auto"/>
      </w:divBdr>
    </w:div>
    <w:div w:id="1890216573">
      <w:bodyDiv w:val="1"/>
      <w:marLeft w:val="0"/>
      <w:marRight w:val="0"/>
      <w:marTop w:val="0"/>
      <w:marBottom w:val="0"/>
      <w:divBdr>
        <w:top w:val="none" w:sz="0" w:space="0" w:color="auto"/>
        <w:left w:val="none" w:sz="0" w:space="0" w:color="auto"/>
        <w:bottom w:val="none" w:sz="0" w:space="0" w:color="auto"/>
        <w:right w:val="none" w:sz="0" w:space="0" w:color="auto"/>
      </w:divBdr>
    </w:div>
    <w:div w:id="1933781609">
      <w:bodyDiv w:val="1"/>
      <w:marLeft w:val="0"/>
      <w:marRight w:val="0"/>
      <w:marTop w:val="0"/>
      <w:marBottom w:val="0"/>
      <w:divBdr>
        <w:top w:val="none" w:sz="0" w:space="0" w:color="auto"/>
        <w:left w:val="none" w:sz="0" w:space="0" w:color="auto"/>
        <w:bottom w:val="none" w:sz="0" w:space="0" w:color="auto"/>
        <w:right w:val="none" w:sz="0" w:space="0" w:color="auto"/>
      </w:divBdr>
    </w:div>
    <w:div w:id="1968970668">
      <w:bodyDiv w:val="1"/>
      <w:marLeft w:val="0"/>
      <w:marRight w:val="0"/>
      <w:marTop w:val="0"/>
      <w:marBottom w:val="0"/>
      <w:divBdr>
        <w:top w:val="none" w:sz="0" w:space="0" w:color="auto"/>
        <w:left w:val="none" w:sz="0" w:space="0" w:color="auto"/>
        <w:bottom w:val="none" w:sz="0" w:space="0" w:color="auto"/>
        <w:right w:val="none" w:sz="0" w:space="0" w:color="auto"/>
      </w:divBdr>
    </w:div>
    <w:div w:id="2031641972">
      <w:bodyDiv w:val="1"/>
      <w:marLeft w:val="0"/>
      <w:marRight w:val="0"/>
      <w:marTop w:val="0"/>
      <w:marBottom w:val="0"/>
      <w:divBdr>
        <w:top w:val="none" w:sz="0" w:space="0" w:color="auto"/>
        <w:left w:val="none" w:sz="0" w:space="0" w:color="auto"/>
        <w:bottom w:val="none" w:sz="0" w:space="0" w:color="auto"/>
        <w:right w:val="none" w:sz="0" w:space="0" w:color="auto"/>
      </w:divBdr>
    </w:div>
    <w:div w:id="2049648509">
      <w:bodyDiv w:val="1"/>
      <w:marLeft w:val="0"/>
      <w:marRight w:val="0"/>
      <w:marTop w:val="0"/>
      <w:marBottom w:val="0"/>
      <w:divBdr>
        <w:top w:val="none" w:sz="0" w:space="0" w:color="auto"/>
        <w:left w:val="none" w:sz="0" w:space="0" w:color="auto"/>
        <w:bottom w:val="none" w:sz="0" w:space="0" w:color="auto"/>
        <w:right w:val="none" w:sz="0" w:space="0" w:color="auto"/>
      </w:divBdr>
    </w:div>
    <w:div w:id="20583177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847</Words>
  <Characters>4829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 Rodríguez</dc:creator>
  <cp:keywords/>
  <dc:description/>
  <cp:lastModifiedBy>Microsoft Office User</cp:lastModifiedBy>
  <cp:revision>90</cp:revision>
  <cp:lastPrinted>2019-04-25T20:00:00Z</cp:lastPrinted>
  <dcterms:created xsi:type="dcterms:W3CDTF">2022-09-01T19:20:00Z</dcterms:created>
  <dcterms:modified xsi:type="dcterms:W3CDTF">2022-09-01T21:35:00Z</dcterms:modified>
</cp:coreProperties>
</file>