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6CE69" w14:textId="5215C046" w:rsidR="00036AC2" w:rsidRPr="0058479E" w:rsidRDefault="0058479E" w:rsidP="00F7426B">
      <w:pPr>
        <w:pStyle w:val="Titel"/>
      </w:pPr>
      <w:r w:rsidRPr="0058479E">
        <w:t>The ECRH-Power Upgrade at the Wendelstein 7-X Stellarato</w:t>
      </w:r>
      <w:r>
        <w:t xml:space="preserve">r </w:t>
      </w:r>
    </w:p>
    <w:p w14:paraId="266D04CF" w14:textId="35492EE5" w:rsidR="0058479E" w:rsidRDefault="0058479E" w:rsidP="0058479E">
      <w:pPr>
        <w:pStyle w:val="StandardWeb"/>
        <w:spacing w:line="300" w:lineRule="exact"/>
        <w:textAlignment w:val="baseline"/>
        <w:rPr>
          <w:rFonts w:cs="Times New Roman"/>
          <w:color w:val="auto"/>
          <w:kern w:val="24"/>
          <w:sz w:val="20"/>
          <w:szCs w:val="20"/>
          <w:vertAlign w:val="superscript"/>
          <w:lang w:val="en-US"/>
        </w:rPr>
      </w:pPr>
      <w:r w:rsidRPr="0058479E">
        <w:rPr>
          <w:rFonts w:cs="Times New Roman"/>
          <w:color w:val="auto"/>
          <w:kern w:val="24"/>
          <w:sz w:val="20"/>
          <w:szCs w:val="20"/>
          <w:lang w:val="en-US"/>
        </w:rPr>
        <w:t>H. P. Laqua</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 K. A. Avramidis</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H. Braune</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w:t>
      </w:r>
      <w:r w:rsidRPr="0058479E">
        <w:rPr>
          <w:sz w:val="20"/>
          <w:szCs w:val="20"/>
          <w:lang w:val="en-US"/>
        </w:rPr>
        <w:t xml:space="preserve"> I. Chelis</w:t>
      </w:r>
      <w:r w:rsidRPr="0058479E">
        <w:rPr>
          <w:sz w:val="20"/>
          <w:szCs w:val="20"/>
          <w:vertAlign w:val="superscript"/>
          <w:lang w:val="en-US"/>
        </w:rPr>
        <w:t>3</w:t>
      </w:r>
      <w:r w:rsidRPr="0058479E">
        <w:rPr>
          <w:sz w:val="20"/>
          <w:szCs w:val="20"/>
          <w:lang w:val="en-US"/>
        </w:rPr>
        <w:t xml:space="preserve">, </w:t>
      </w:r>
      <w:r w:rsidRPr="0058479E">
        <w:rPr>
          <w:rFonts w:cs="Times New Roman"/>
          <w:color w:val="auto"/>
          <w:kern w:val="24"/>
          <w:sz w:val="20"/>
          <w:szCs w:val="20"/>
          <w:lang w:val="en-US"/>
        </w:rPr>
        <w:t>G. Gantenbein</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S. Illy</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Z. Ioannidis</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J. Jelonnek</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J. Jin</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L. Krier</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C.Lechte</w:t>
      </w:r>
      <w:r w:rsidRPr="0058479E">
        <w:rPr>
          <w:rFonts w:cs="Times New Roman"/>
          <w:color w:val="auto"/>
          <w:kern w:val="24"/>
          <w:sz w:val="20"/>
          <w:szCs w:val="20"/>
          <w:vertAlign w:val="superscript"/>
          <w:lang w:val="en-US"/>
        </w:rPr>
        <w:t>3</w:t>
      </w:r>
      <w:r w:rsidRPr="0058479E">
        <w:rPr>
          <w:rFonts w:cs="Times New Roman"/>
          <w:color w:val="auto"/>
          <w:kern w:val="24"/>
          <w:sz w:val="20"/>
          <w:szCs w:val="20"/>
          <w:lang w:val="en-US"/>
        </w:rPr>
        <w:t>, A. Leggieri</w:t>
      </w:r>
      <w:r w:rsidRPr="0058479E">
        <w:rPr>
          <w:rFonts w:cs="Times New Roman"/>
          <w:color w:val="auto"/>
          <w:kern w:val="24"/>
          <w:sz w:val="20"/>
          <w:szCs w:val="20"/>
          <w:vertAlign w:val="superscript"/>
          <w:lang w:val="en-US"/>
        </w:rPr>
        <w:t>4</w:t>
      </w:r>
      <w:r w:rsidRPr="0058479E">
        <w:rPr>
          <w:rFonts w:cs="Times New Roman"/>
          <w:color w:val="auto"/>
          <w:kern w:val="24"/>
          <w:sz w:val="20"/>
          <w:szCs w:val="20"/>
          <w:lang w:val="en-US"/>
        </w:rPr>
        <w:t>,  F. Legrand</w:t>
      </w:r>
      <w:r w:rsidRPr="0058479E">
        <w:rPr>
          <w:rFonts w:cs="Times New Roman"/>
          <w:color w:val="auto"/>
          <w:kern w:val="24"/>
          <w:sz w:val="20"/>
          <w:szCs w:val="20"/>
          <w:vertAlign w:val="superscript"/>
          <w:lang w:val="en-US"/>
        </w:rPr>
        <w:t>4</w:t>
      </w:r>
      <w:r w:rsidRPr="0058479E">
        <w:rPr>
          <w:rFonts w:cs="Times New Roman"/>
          <w:color w:val="auto"/>
          <w:kern w:val="24"/>
          <w:sz w:val="20"/>
          <w:szCs w:val="20"/>
          <w:lang w:val="en-US"/>
        </w:rPr>
        <w:t>, S. Marsen</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 D. Moseev</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 H. Oosterbeek</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 T. Rzesnicki</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T. Ruess</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T. Stange</w:t>
      </w:r>
      <w:r w:rsidRPr="0058479E">
        <w:rPr>
          <w:rFonts w:cs="Times New Roman"/>
          <w:color w:val="auto"/>
          <w:kern w:val="24"/>
          <w:sz w:val="20"/>
          <w:szCs w:val="20"/>
          <w:vertAlign w:val="superscript"/>
          <w:lang w:val="en-US"/>
        </w:rPr>
        <w:t>1</w:t>
      </w:r>
      <w:r w:rsidRPr="0058479E">
        <w:rPr>
          <w:rFonts w:cs="Times New Roman"/>
          <w:color w:val="auto"/>
          <w:kern w:val="24"/>
          <w:sz w:val="20"/>
          <w:szCs w:val="20"/>
          <w:lang w:val="en-US"/>
        </w:rPr>
        <w:t>, M. Thumm</w:t>
      </w:r>
      <w:r w:rsidRPr="0058479E">
        <w:rPr>
          <w:rFonts w:cs="Times New Roman"/>
          <w:color w:val="auto"/>
          <w:kern w:val="24"/>
          <w:sz w:val="20"/>
          <w:szCs w:val="20"/>
          <w:vertAlign w:val="superscript"/>
          <w:lang w:val="en-US"/>
        </w:rPr>
        <w:t>2</w:t>
      </w:r>
      <w:r w:rsidRPr="0058479E">
        <w:rPr>
          <w:rFonts w:cs="Times New Roman"/>
          <w:color w:val="auto"/>
          <w:kern w:val="24"/>
          <w:sz w:val="20"/>
          <w:szCs w:val="20"/>
          <w:lang w:val="en-US"/>
        </w:rPr>
        <w:t>, I. Tigelis</w:t>
      </w:r>
      <w:r w:rsidRPr="0058479E">
        <w:rPr>
          <w:rFonts w:cs="Times New Roman"/>
          <w:color w:val="auto"/>
          <w:kern w:val="24"/>
          <w:sz w:val="20"/>
          <w:szCs w:val="20"/>
          <w:vertAlign w:val="superscript"/>
          <w:lang w:val="en-US"/>
        </w:rPr>
        <w:t>5</w:t>
      </w:r>
      <w:r w:rsidRPr="0058479E">
        <w:rPr>
          <w:rFonts w:cs="Times New Roman"/>
          <w:color w:val="auto"/>
          <w:kern w:val="24"/>
          <w:sz w:val="20"/>
          <w:szCs w:val="20"/>
          <w:lang w:val="en-US"/>
        </w:rPr>
        <w:t>, R. C. Wolf</w:t>
      </w:r>
      <w:r w:rsidRPr="0058479E">
        <w:rPr>
          <w:rFonts w:cs="Times New Roman"/>
          <w:color w:val="auto"/>
          <w:kern w:val="24"/>
          <w:sz w:val="20"/>
          <w:szCs w:val="20"/>
          <w:vertAlign w:val="superscript"/>
          <w:lang w:val="en-US"/>
        </w:rPr>
        <w:t xml:space="preserve">1 </w:t>
      </w:r>
      <w:r w:rsidRPr="0058479E">
        <w:rPr>
          <w:rFonts w:cs="Times New Roman"/>
          <w:color w:val="auto"/>
          <w:kern w:val="24"/>
          <w:sz w:val="20"/>
          <w:szCs w:val="20"/>
          <w:lang w:val="en-US"/>
        </w:rPr>
        <w:t>and the W7-X team</w:t>
      </w:r>
      <w:r w:rsidRPr="0058479E">
        <w:rPr>
          <w:rFonts w:cs="Times New Roman"/>
          <w:color w:val="auto"/>
          <w:kern w:val="24"/>
          <w:sz w:val="20"/>
          <w:szCs w:val="20"/>
          <w:vertAlign w:val="superscript"/>
          <w:lang w:val="en-US"/>
        </w:rPr>
        <w:t>6</w:t>
      </w:r>
    </w:p>
    <w:p w14:paraId="5398C78E" w14:textId="77777777" w:rsidR="0058479E" w:rsidRPr="0058479E" w:rsidRDefault="0058479E" w:rsidP="0058479E">
      <w:pPr>
        <w:pStyle w:val="StandardWeb"/>
        <w:spacing w:line="300" w:lineRule="exact"/>
        <w:textAlignment w:val="baseline"/>
        <w:rPr>
          <w:rFonts w:cs="Times New Roman"/>
          <w:color w:val="auto"/>
          <w:kern w:val="24"/>
          <w:sz w:val="20"/>
          <w:szCs w:val="20"/>
          <w:vertAlign w:val="superscript"/>
          <w:lang w:val="en-US"/>
        </w:rPr>
      </w:pPr>
    </w:p>
    <w:p w14:paraId="7719D227" w14:textId="77777777" w:rsidR="0058479E" w:rsidRPr="0058479E" w:rsidRDefault="0058479E" w:rsidP="0058479E">
      <w:pPr>
        <w:ind w:firstLine="709"/>
        <w:rPr>
          <w:rFonts w:ascii="Times New Roman" w:hAnsi="Times New Roman" w:cs="Times New Roman"/>
          <w:kern w:val="24"/>
          <w:sz w:val="18"/>
          <w:szCs w:val="18"/>
        </w:rPr>
      </w:pPr>
      <w:r w:rsidRPr="0058479E">
        <w:rPr>
          <w:rFonts w:ascii="Times New Roman" w:hAnsi="Times New Roman" w:cs="Times New Roman"/>
          <w:kern w:val="24"/>
          <w:sz w:val="18"/>
          <w:szCs w:val="18"/>
          <w:vertAlign w:val="superscript"/>
        </w:rPr>
        <w:t>1</w:t>
      </w:r>
      <w:r w:rsidRPr="0058479E">
        <w:rPr>
          <w:rFonts w:ascii="Times New Roman" w:hAnsi="Times New Roman" w:cs="Times New Roman"/>
          <w:kern w:val="24"/>
          <w:sz w:val="18"/>
          <w:szCs w:val="18"/>
        </w:rPr>
        <w:t xml:space="preserve"> Max-Planck-Institute for Plasma Physics, Greifswald, D-17491, Germany</w:t>
      </w:r>
    </w:p>
    <w:p w14:paraId="34A02285" w14:textId="77777777" w:rsidR="0058479E" w:rsidRPr="0058479E" w:rsidRDefault="0058479E" w:rsidP="0058479E">
      <w:pPr>
        <w:ind w:left="708" w:firstLine="1"/>
        <w:rPr>
          <w:rFonts w:ascii="Times New Roman" w:hAnsi="Times New Roman" w:cs="Times New Roman"/>
          <w:sz w:val="18"/>
          <w:szCs w:val="18"/>
        </w:rPr>
      </w:pPr>
      <w:r w:rsidRPr="0058479E">
        <w:rPr>
          <w:rFonts w:ascii="Times New Roman" w:hAnsi="Times New Roman" w:cs="Times New Roman"/>
          <w:kern w:val="24"/>
          <w:sz w:val="18"/>
          <w:szCs w:val="18"/>
          <w:vertAlign w:val="superscript"/>
        </w:rPr>
        <w:t xml:space="preserve">2 </w:t>
      </w:r>
      <w:r w:rsidRPr="0058479E">
        <w:rPr>
          <w:rFonts w:ascii="Times New Roman" w:hAnsi="Times New Roman" w:cs="Times New Roman"/>
          <w:kern w:val="24"/>
          <w:sz w:val="18"/>
          <w:szCs w:val="18"/>
        </w:rPr>
        <w:t xml:space="preserve">IHM, </w:t>
      </w:r>
      <w:r w:rsidRPr="0058479E">
        <w:rPr>
          <w:rFonts w:ascii="Times New Roman" w:hAnsi="Times New Roman" w:cs="Times New Roman"/>
          <w:sz w:val="18"/>
          <w:szCs w:val="18"/>
        </w:rPr>
        <w:t>Karlsruhe Institute of Technology (KIT), Karlsruhe, D-76131, Germany</w:t>
      </w:r>
    </w:p>
    <w:p w14:paraId="7E5927FF" w14:textId="77777777" w:rsidR="0058479E" w:rsidRPr="00B66A72" w:rsidRDefault="0058479E" w:rsidP="0058479E">
      <w:pPr>
        <w:ind w:left="708" w:firstLine="1"/>
        <w:rPr>
          <w:rFonts w:ascii="Times New Roman" w:hAnsi="Times New Roman" w:cs="Times New Roman"/>
          <w:sz w:val="18"/>
          <w:szCs w:val="18"/>
          <w:lang w:val="en-US"/>
        </w:rPr>
      </w:pPr>
      <w:r w:rsidRPr="00B66A72">
        <w:rPr>
          <w:rFonts w:ascii="Times New Roman" w:hAnsi="Times New Roman" w:cs="Times New Roman"/>
          <w:kern w:val="24"/>
          <w:sz w:val="18"/>
          <w:szCs w:val="18"/>
          <w:vertAlign w:val="superscript"/>
          <w:lang w:val="en-US"/>
        </w:rPr>
        <w:t>3</w:t>
      </w:r>
      <w:r w:rsidRPr="00B66A72">
        <w:rPr>
          <w:rFonts w:ascii="Times New Roman" w:hAnsi="Times New Roman" w:cs="Times New Roman"/>
          <w:kern w:val="24"/>
          <w:sz w:val="18"/>
          <w:szCs w:val="18"/>
          <w:lang w:val="en-US"/>
        </w:rPr>
        <w:t xml:space="preserve"> IGVP, Stuttgart University, D-70569 Stuttgart, Germany</w:t>
      </w:r>
    </w:p>
    <w:p w14:paraId="3D60601E" w14:textId="77777777" w:rsidR="0058479E" w:rsidRPr="0058479E" w:rsidRDefault="0058479E" w:rsidP="0058479E">
      <w:pPr>
        <w:ind w:left="708" w:firstLine="1"/>
        <w:rPr>
          <w:rFonts w:ascii="Times New Roman" w:hAnsi="Times New Roman" w:cs="Times New Roman"/>
          <w:sz w:val="18"/>
          <w:szCs w:val="18"/>
        </w:rPr>
      </w:pPr>
      <w:r w:rsidRPr="0058479E">
        <w:rPr>
          <w:rFonts w:ascii="Times New Roman" w:hAnsi="Times New Roman" w:cs="Times New Roman"/>
          <w:sz w:val="18"/>
          <w:szCs w:val="18"/>
          <w:vertAlign w:val="superscript"/>
        </w:rPr>
        <w:t xml:space="preserve">4 </w:t>
      </w:r>
      <w:r w:rsidRPr="0058479E">
        <w:rPr>
          <w:rFonts w:ascii="Times New Roman" w:hAnsi="Times New Roman" w:cs="Times New Roman"/>
          <w:sz w:val="18"/>
          <w:szCs w:val="18"/>
        </w:rPr>
        <w:t xml:space="preserve">Microwave &amp; Imaging Sub-Systems, THALES, Vélizy-Villacoublay, F-78141, France </w:t>
      </w:r>
    </w:p>
    <w:p w14:paraId="355429C1" w14:textId="77777777" w:rsidR="0058479E" w:rsidRPr="0058479E" w:rsidRDefault="0058479E" w:rsidP="0058479E">
      <w:pPr>
        <w:ind w:left="708" w:firstLine="1"/>
        <w:rPr>
          <w:rFonts w:ascii="Times New Roman" w:hAnsi="Times New Roman" w:cs="Times New Roman"/>
          <w:sz w:val="18"/>
          <w:szCs w:val="18"/>
        </w:rPr>
      </w:pPr>
      <w:r w:rsidRPr="0058479E">
        <w:rPr>
          <w:rFonts w:ascii="Times New Roman" w:hAnsi="Times New Roman" w:cs="Times New Roman"/>
          <w:sz w:val="18"/>
          <w:szCs w:val="18"/>
          <w:vertAlign w:val="superscript"/>
        </w:rPr>
        <w:t xml:space="preserve">5 </w:t>
      </w:r>
      <w:r w:rsidRPr="0058479E">
        <w:rPr>
          <w:rFonts w:ascii="Times New Roman" w:hAnsi="Times New Roman" w:cs="Times New Roman"/>
          <w:sz w:val="18"/>
          <w:szCs w:val="18"/>
        </w:rPr>
        <w:t>Department of Physics National and Kapodistrian University, Athens, GR-15784, Greece</w:t>
      </w:r>
    </w:p>
    <w:p w14:paraId="23CD6BD1" w14:textId="78733213" w:rsidR="0007205F" w:rsidRDefault="0058479E" w:rsidP="0058479E">
      <w:pPr>
        <w:ind w:left="708" w:firstLine="1"/>
        <w:rPr>
          <w:rFonts w:ascii="Times" w:hAnsi="Times" w:cs="Times"/>
          <w:sz w:val="18"/>
          <w:szCs w:val="18"/>
        </w:rPr>
      </w:pPr>
      <w:r w:rsidRPr="0058479E">
        <w:rPr>
          <w:rFonts w:ascii="Times New Roman" w:hAnsi="Times New Roman" w:cs="Times New Roman"/>
          <w:sz w:val="18"/>
          <w:szCs w:val="18"/>
          <w:vertAlign w:val="superscript"/>
        </w:rPr>
        <w:t>6</w:t>
      </w:r>
      <w:r w:rsidRPr="0058479E">
        <w:rPr>
          <w:rFonts w:ascii="Times New Roman" w:hAnsi="Times New Roman" w:cs="Times New Roman"/>
          <w:sz w:val="18"/>
          <w:szCs w:val="18"/>
        </w:rPr>
        <w:t xml:space="preserve"> The W7-X team is the list of authors in </w:t>
      </w:r>
      <w:r w:rsidR="00582877" w:rsidRPr="00582877">
        <w:rPr>
          <w:rFonts w:ascii="Times" w:hAnsi="Times" w:cs="Times"/>
          <w:sz w:val="18"/>
          <w:szCs w:val="18"/>
        </w:rPr>
        <w:t xml:space="preserve">Thomas Sunn Pedersen </w:t>
      </w:r>
      <w:r w:rsidR="00582877" w:rsidRPr="00582877">
        <w:rPr>
          <w:rStyle w:val="Hervorhebung"/>
          <w:rFonts w:ascii="Times" w:hAnsi="Times" w:cs="Times"/>
          <w:sz w:val="18"/>
          <w:szCs w:val="18"/>
        </w:rPr>
        <w:t>et al</w:t>
      </w:r>
      <w:r w:rsidR="00582877" w:rsidRPr="00582877">
        <w:rPr>
          <w:rFonts w:ascii="Times" w:hAnsi="Times" w:cs="Times"/>
          <w:sz w:val="18"/>
          <w:szCs w:val="18"/>
        </w:rPr>
        <w:t xml:space="preserve"> 2022 </w:t>
      </w:r>
      <w:r w:rsidR="00582877" w:rsidRPr="00582877">
        <w:rPr>
          <w:rStyle w:val="Hervorhebung"/>
          <w:rFonts w:ascii="Times" w:hAnsi="Times" w:cs="Times"/>
          <w:sz w:val="18"/>
          <w:szCs w:val="18"/>
        </w:rPr>
        <w:t>Nucl. Fusion</w:t>
      </w:r>
      <w:r w:rsidR="00582877" w:rsidRPr="00582877">
        <w:rPr>
          <w:rFonts w:ascii="Times" w:hAnsi="Times" w:cs="Times"/>
          <w:sz w:val="18"/>
          <w:szCs w:val="18"/>
        </w:rPr>
        <w:t xml:space="preserve"> </w:t>
      </w:r>
      <w:r w:rsidR="00582877" w:rsidRPr="00582877">
        <w:rPr>
          <w:rFonts w:ascii="Times" w:hAnsi="Times" w:cs="Times"/>
          <w:b/>
          <w:bCs/>
          <w:sz w:val="18"/>
          <w:szCs w:val="18"/>
        </w:rPr>
        <w:t>62</w:t>
      </w:r>
      <w:r w:rsidR="00582877" w:rsidRPr="00582877">
        <w:rPr>
          <w:rFonts w:ascii="Times" w:hAnsi="Times" w:cs="Times"/>
          <w:sz w:val="18"/>
          <w:szCs w:val="18"/>
        </w:rPr>
        <w:t xml:space="preserve"> 042022</w:t>
      </w:r>
    </w:p>
    <w:p w14:paraId="7655008E" w14:textId="77777777" w:rsidR="00582877" w:rsidRPr="00582877" w:rsidRDefault="00582877" w:rsidP="0058479E">
      <w:pPr>
        <w:ind w:left="708" w:firstLine="1"/>
        <w:rPr>
          <w:rFonts w:ascii="Times" w:hAnsi="Times" w:cs="Times"/>
          <w:sz w:val="18"/>
          <w:szCs w:val="18"/>
        </w:rPr>
      </w:pPr>
    </w:p>
    <w:p w14:paraId="3464BF88" w14:textId="1EB7A63C" w:rsidR="0007205F" w:rsidRPr="00884B7E" w:rsidRDefault="00DB3B4E" w:rsidP="0007205F">
      <w:pPr>
        <w:jc w:val="both"/>
        <w:rPr>
          <w:rFonts w:ascii="Times New Roman" w:hAnsi="Times New Roman" w:cs="Times New Roman"/>
          <w:szCs w:val="24"/>
          <w:lang w:val="en-US"/>
        </w:rPr>
      </w:pPr>
      <w:r w:rsidRPr="00AC6424">
        <w:rPr>
          <w:rStyle w:val="AbstractAbstractword"/>
        </w:rPr>
        <w:t>Abstract</w:t>
      </w:r>
      <w:r w:rsidRPr="00F0715B">
        <w:rPr>
          <w:rStyle w:val="AbstractAbstractword"/>
        </w:rPr>
        <w:t>.</w:t>
      </w:r>
      <w:r w:rsidRPr="00A473A5">
        <w:t xml:space="preserve"> </w:t>
      </w:r>
      <w:r w:rsidR="0007205F" w:rsidRPr="00884B7E">
        <w:rPr>
          <w:rFonts w:ascii="Times" w:hAnsi="Times" w:cs="Times"/>
          <w:sz w:val="18"/>
          <w:szCs w:val="18"/>
          <w:lang w:val="en-US"/>
        </w:rPr>
        <w:t>The existing ECRH system at W7-X consists of 10 gyrotrons, with output power levels ranging from 0.6 MW up to 1.0 MW each</w:t>
      </w:r>
      <w:r w:rsidR="00EA3BA0">
        <w:rPr>
          <w:rFonts w:ascii="Times" w:hAnsi="Times" w:cs="Times"/>
          <w:sz w:val="18"/>
          <w:szCs w:val="18"/>
          <w:lang w:val="en-US"/>
        </w:rPr>
        <w:t xml:space="preserve"> at a frequency of 140 GHz</w:t>
      </w:r>
      <w:r w:rsidR="0007205F" w:rsidRPr="00884B7E">
        <w:rPr>
          <w:rFonts w:ascii="Times" w:hAnsi="Times" w:cs="Times"/>
          <w:sz w:val="18"/>
          <w:szCs w:val="18"/>
          <w:lang w:val="en-US"/>
        </w:rPr>
        <w:t>, quasi-</w:t>
      </w:r>
      <w:r w:rsidR="0043471D">
        <w:rPr>
          <w:rFonts w:ascii="Times" w:hAnsi="Times" w:cs="Times"/>
          <w:sz w:val="18"/>
          <w:szCs w:val="18"/>
          <w:lang w:val="en-US"/>
        </w:rPr>
        <w:t xml:space="preserve">optical transmission lines and </w:t>
      </w:r>
      <w:r w:rsidR="0007205F" w:rsidRPr="00884B7E">
        <w:rPr>
          <w:rFonts w:ascii="Times" w:hAnsi="Times" w:cs="Times"/>
          <w:sz w:val="18"/>
          <w:szCs w:val="18"/>
          <w:lang w:val="en-US"/>
        </w:rPr>
        <w:t>microwave launchers at the plasma vessel. Compared to other large fusion experiments, W7-X has a relatively low power-to-volume ratio. However high heating power is particularly necessary for achieving high plasma beta values, where the improved confinement of fast ions, one of the optimization criteria of W7-X, can be examined. It is therefore necessary to expand the ECRH systems in several consecutive steps.  It is planned to increase the number of gyrotron positions from 10 to 12 and at the same time to evolve the gyrotron output power in several development steps from 1 MW to nominal 1.5 MW and, finally, up to 2 MW. At the same time, the transmission lines will also be upgraded for 2 MW operation. A special effort is also made to improve the reliability of the system by the fast control system</w:t>
      </w:r>
      <w:r w:rsidR="00F36CE8" w:rsidRPr="00884B7E">
        <w:rPr>
          <w:rFonts w:ascii="Times" w:hAnsi="Times" w:cs="Times"/>
          <w:sz w:val="18"/>
          <w:szCs w:val="18"/>
          <w:lang w:val="en-US"/>
        </w:rPr>
        <w:t>,</w:t>
      </w:r>
    </w:p>
    <w:p w14:paraId="70DE6286" w14:textId="1AADEFCB" w:rsidR="00AA516F" w:rsidRDefault="00AA516F" w:rsidP="00AC6424">
      <w:pPr>
        <w:pStyle w:val="Abstractbody"/>
        <w:rPr>
          <w:lang w:val="fr-FR"/>
        </w:rPr>
      </w:pPr>
    </w:p>
    <w:p w14:paraId="1DD5016F" w14:textId="77777777" w:rsidR="0007205F" w:rsidRPr="0007205F" w:rsidRDefault="0007205F" w:rsidP="00F36CE8">
      <w:pPr>
        <w:pStyle w:val="Section"/>
        <w:numPr>
          <w:ilvl w:val="0"/>
          <w:numId w:val="0"/>
        </w:numPr>
        <w:ind w:left="1277"/>
        <w:rPr>
          <w:lang w:val="fr-FR"/>
        </w:rPr>
        <w:sectPr w:rsidR="0007205F" w:rsidRPr="0007205F"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6566046C" w14:textId="77777777" w:rsidR="0058479E" w:rsidRPr="0058479E" w:rsidRDefault="0058479E" w:rsidP="0058479E">
      <w:pPr>
        <w:pStyle w:val="Section"/>
        <w:numPr>
          <w:ilvl w:val="0"/>
          <w:numId w:val="0"/>
        </w:numPr>
        <w:rPr>
          <w:sz w:val="20"/>
          <w:szCs w:val="20"/>
        </w:rPr>
      </w:pPr>
      <w:r w:rsidRPr="0058479E">
        <w:rPr>
          <w:sz w:val="20"/>
          <w:szCs w:val="20"/>
        </w:rPr>
        <w:t>Introduction</w:t>
      </w:r>
    </w:p>
    <w:p w14:paraId="15C487A4" w14:textId="45921957" w:rsidR="0058479E" w:rsidRPr="0058479E" w:rsidRDefault="0058479E" w:rsidP="0058479E">
      <w:pPr>
        <w:tabs>
          <w:tab w:val="left" w:pos="426"/>
        </w:tabs>
        <w:jc w:val="both"/>
        <w:rPr>
          <w:rFonts w:ascii="Times" w:hAnsi="Times" w:cs="Times"/>
          <w:sz w:val="20"/>
          <w:lang w:val="en-US"/>
        </w:rPr>
      </w:pPr>
      <w:r w:rsidRPr="0058479E">
        <w:rPr>
          <w:rFonts w:ascii="Times" w:hAnsi="Times" w:cs="Times"/>
          <w:sz w:val="20"/>
          <w:lang w:val="en-US"/>
        </w:rPr>
        <w:t xml:space="preserve">The ECRH system for </w:t>
      </w:r>
      <w:r w:rsidR="00872F9B">
        <w:rPr>
          <w:rFonts w:ascii="Times" w:hAnsi="Times" w:cs="Times"/>
          <w:sz w:val="20"/>
          <w:lang w:val="en-US"/>
        </w:rPr>
        <w:t>stellarator Wendelstein7-X (</w:t>
      </w:r>
      <w:r w:rsidRPr="0058479E">
        <w:rPr>
          <w:rFonts w:ascii="Times" w:hAnsi="Times" w:cs="Times"/>
          <w:sz w:val="20"/>
          <w:lang w:val="en-US"/>
        </w:rPr>
        <w:t>W7-X</w:t>
      </w:r>
      <w:r w:rsidR="00872F9B">
        <w:rPr>
          <w:rFonts w:ascii="Times" w:hAnsi="Times" w:cs="Times"/>
          <w:sz w:val="20"/>
          <w:lang w:val="en-US"/>
        </w:rPr>
        <w:t>)</w:t>
      </w:r>
      <w:r w:rsidRPr="0058479E">
        <w:rPr>
          <w:rFonts w:ascii="Times" w:hAnsi="Times" w:cs="Times"/>
          <w:sz w:val="20"/>
          <w:lang w:val="en-US"/>
        </w:rPr>
        <w:t xml:space="preserve"> </w:t>
      </w:r>
      <w:r w:rsidR="00476886">
        <w:rPr>
          <w:rFonts w:ascii="Times" w:hAnsi="Times" w:cs="Times"/>
          <w:sz w:val="20"/>
          <w:lang w:val="en-US"/>
        </w:rPr>
        <w:t>had been</w:t>
      </w:r>
      <w:r w:rsidRPr="0058479E">
        <w:rPr>
          <w:rFonts w:ascii="Times" w:hAnsi="Times" w:cs="Times"/>
          <w:sz w:val="20"/>
          <w:lang w:val="en-US"/>
        </w:rPr>
        <w:t xml:space="preserve"> designed about 22 years ago</w:t>
      </w:r>
      <w:r w:rsidR="00363690">
        <w:rPr>
          <w:rFonts w:ascii="Times" w:hAnsi="Times" w:cs="Times"/>
          <w:sz w:val="20"/>
          <w:lang w:val="en-US"/>
        </w:rPr>
        <w:t xml:space="preserve"> [1]</w:t>
      </w:r>
      <w:r w:rsidRPr="0058479E">
        <w:rPr>
          <w:rFonts w:ascii="Times" w:hAnsi="Times" w:cs="Times"/>
          <w:sz w:val="20"/>
          <w:lang w:val="en-US"/>
        </w:rPr>
        <w:t>. Nevertheless, it has reliably fulfilled its tasks during the first experimental campaigns. After the successful resul</w:t>
      </w:r>
      <w:r w:rsidR="00872F9B">
        <w:rPr>
          <w:rFonts w:ascii="Times" w:hAnsi="Times" w:cs="Times"/>
          <w:sz w:val="20"/>
          <w:lang w:val="en-US"/>
        </w:rPr>
        <w:t>ts of the past campaigns</w:t>
      </w:r>
      <w:r w:rsidR="00363690">
        <w:rPr>
          <w:rFonts w:ascii="Times" w:hAnsi="Times" w:cs="Times"/>
          <w:sz w:val="20"/>
          <w:lang w:val="en-US"/>
        </w:rPr>
        <w:t xml:space="preserve"> [2],[3]</w:t>
      </w:r>
      <w:r w:rsidRPr="0058479E">
        <w:rPr>
          <w:rFonts w:ascii="Times" w:hAnsi="Times" w:cs="Times"/>
          <w:sz w:val="20"/>
          <w:lang w:val="en-US"/>
        </w:rPr>
        <w:t xml:space="preserve">, the need for a modernisation and power upgrade has arisen, resulting in the strategy for the performance upgrade presented here. </w:t>
      </w:r>
    </w:p>
    <w:p w14:paraId="2F946157" w14:textId="77777777" w:rsidR="0058479E" w:rsidRPr="0058479E" w:rsidRDefault="0058479E" w:rsidP="0058479E">
      <w:pPr>
        <w:pStyle w:val="Section"/>
        <w:numPr>
          <w:ilvl w:val="0"/>
          <w:numId w:val="0"/>
        </w:numPr>
        <w:rPr>
          <w:sz w:val="20"/>
          <w:szCs w:val="20"/>
        </w:rPr>
      </w:pPr>
      <w:r w:rsidRPr="0058479E">
        <w:rPr>
          <w:sz w:val="20"/>
          <w:szCs w:val="20"/>
        </w:rPr>
        <w:t>Motivation</w:t>
      </w:r>
    </w:p>
    <w:p w14:paraId="6A671A5F" w14:textId="5CB4F612" w:rsidR="0058479E" w:rsidRPr="0058479E" w:rsidRDefault="0058479E" w:rsidP="0058479E">
      <w:pPr>
        <w:tabs>
          <w:tab w:val="left" w:pos="426"/>
        </w:tabs>
        <w:jc w:val="both"/>
        <w:rPr>
          <w:rFonts w:ascii="Times" w:hAnsi="Times" w:cs="Times"/>
          <w:sz w:val="20"/>
          <w:lang w:val="en"/>
        </w:rPr>
      </w:pPr>
      <w:r w:rsidRPr="0058479E">
        <w:rPr>
          <w:rFonts w:ascii="Times" w:hAnsi="Times" w:cs="Times"/>
          <w:sz w:val="20"/>
        </w:rPr>
        <w:t xml:space="preserve">The existing </w:t>
      </w:r>
      <w:r w:rsidR="000D495E">
        <w:rPr>
          <w:rFonts w:ascii="Times" w:hAnsi="Times" w:cs="Times"/>
          <w:sz w:val="20"/>
        </w:rPr>
        <w:t>140 GHz</w:t>
      </w:r>
      <w:r w:rsidR="000D495E" w:rsidRPr="0058479E">
        <w:rPr>
          <w:rFonts w:ascii="Times" w:hAnsi="Times" w:cs="Times"/>
          <w:sz w:val="20"/>
        </w:rPr>
        <w:t xml:space="preserve"> </w:t>
      </w:r>
      <w:r w:rsidRPr="0058479E">
        <w:rPr>
          <w:rFonts w:ascii="Times" w:hAnsi="Times" w:cs="Times"/>
          <w:sz w:val="20"/>
        </w:rPr>
        <w:t>ECRH system at W7-X consists of 10 gyrotrons</w:t>
      </w:r>
      <w:r w:rsidR="00EA3BA0">
        <w:rPr>
          <w:rFonts w:ascii="Times" w:hAnsi="Times" w:cs="Times"/>
          <w:sz w:val="20"/>
        </w:rPr>
        <w:t xml:space="preserve"> </w:t>
      </w:r>
      <w:r w:rsidRPr="00E8700C">
        <w:rPr>
          <w:rFonts w:ascii="Times" w:hAnsi="Times" w:cs="Times"/>
          <w:sz w:val="20"/>
          <w:highlight w:val="yellow"/>
        </w:rPr>
        <w:t>with output power levels ranging from 0.6 MW up to 1.0</w:t>
      </w:r>
      <w:r w:rsidR="00E8700C">
        <w:rPr>
          <w:rFonts w:ascii="Times" w:hAnsi="Times" w:cs="Times"/>
          <w:sz w:val="20"/>
          <w:highlight w:val="yellow"/>
        </w:rPr>
        <w:t>2</w:t>
      </w:r>
      <w:r w:rsidRPr="00E8700C">
        <w:rPr>
          <w:rFonts w:ascii="Times" w:hAnsi="Times" w:cs="Times"/>
          <w:sz w:val="20"/>
          <w:highlight w:val="yellow"/>
        </w:rPr>
        <w:t> MW</w:t>
      </w:r>
      <w:r w:rsidRPr="0058479E">
        <w:rPr>
          <w:rFonts w:ascii="Times" w:hAnsi="Times" w:cs="Times"/>
          <w:sz w:val="20"/>
        </w:rPr>
        <w:t xml:space="preserve"> each, quasi-optical transmission lines and  microwave launchers at the plasma vessel. </w:t>
      </w:r>
      <w:r w:rsidR="000D495E">
        <w:rPr>
          <w:rFonts w:ascii="Times" w:hAnsi="Times" w:cs="Times"/>
          <w:sz w:val="20"/>
        </w:rPr>
        <w:t xml:space="preserve">Up to 7.5 MW </w:t>
      </w:r>
      <w:r w:rsidR="000B7F84" w:rsidRPr="000B7F84">
        <w:rPr>
          <w:rFonts w:ascii="Times" w:hAnsi="Times" w:cs="Times"/>
          <w:sz w:val="20"/>
          <w:highlight w:val="yellow"/>
        </w:rPr>
        <w:t>with a transmission efficiency of 94%</w:t>
      </w:r>
      <w:r w:rsidR="000B7F84">
        <w:rPr>
          <w:rFonts w:ascii="Times" w:hAnsi="Times" w:cs="Times"/>
          <w:sz w:val="20"/>
        </w:rPr>
        <w:t xml:space="preserve"> </w:t>
      </w:r>
      <w:r w:rsidR="000D495E">
        <w:rPr>
          <w:rFonts w:ascii="Times" w:hAnsi="Times" w:cs="Times"/>
          <w:sz w:val="20"/>
        </w:rPr>
        <w:t xml:space="preserve">were delivered to the plasma. </w:t>
      </w:r>
      <w:r w:rsidRPr="0058479E">
        <w:rPr>
          <w:rFonts w:ascii="Times" w:hAnsi="Times" w:cs="Times"/>
          <w:sz w:val="20"/>
          <w:lang w:val="en"/>
        </w:rPr>
        <w:t>Compared to other large fusion experiments, W7-X has a relatively low power-to-volume ratio. However high heating power is particularly necessary for achieving high plasma beta values, where the improved confinement of fast ions, one of the optimization criteria of W7-X, can be examined. In addition, with higher heating power, one expects the achievement of improved confinement regimes, such as the H-mode.</w:t>
      </w:r>
    </w:p>
    <w:p w14:paraId="106BB191" w14:textId="5823BB71" w:rsidR="0058479E" w:rsidRPr="0058479E" w:rsidRDefault="0058479E" w:rsidP="0058479E">
      <w:pPr>
        <w:tabs>
          <w:tab w:val="left" w:pos="426"/>
        </w:tabs>
        <w:jc w:val="both"/>
        <w:rPr>
          <w:rFonts w:ascii="Times" w:hAnsi="Times" w:cs="Times"/>
          <w:sz w:val="20"/>
          <w:lang w:val="en-US"/>
        </w:rPr>
      </w:pPr>
      <w:r w:rsidRPr="0058479E">
        <w:rPr>
          <w:rFonts w:ascii="Times" w:hAnsi="Times" w:cs="Times"/>
          <w:sz w:val="20"/>
          <w:lang w:val="en-US"/>
        </w:rPr>
        <w:t>For the further experimental campaigns, two diff</w:t>
      </w:r>
      <w:r w:rsidR="00991B08">
        <w:rPr>
          <w:rFonts w:ascii="Times" w:hAnsi="Times" w:cs="Times"/>
          <w:sz w:val="20"/>
          <w:lang w:val="en-US"/>
        </w:rPr>
        <w:t xml:space="preserve">erent operational scenarios are </w:t>
      </w:r>
      <w:r w:rsidRPr="0058479E">
        <w:rPr>
          <w:rFonts w:ascii="Times" w:hAnsi="Times" w:cs="Times"/>
          <w:sz w:val="20"/>
          <w:lang w:val="en-US"/>
        </w:rPr>
        <w:t xml:space="preserve">planned </w:t>
      </w:r>
      <w:r w:rsidR="00582877">
        <w:rPr>
          <w:rFonts w:ascii="Times" w:hAnsi="Times" w:cs="Times"/>
          <w:sz w:val="20"/>
          <w:lang w:val="en-US"/>
        </w:rPr>
        <w:t xml:space="preserve">for achieving </w:t>
      </w:r>
      <w:r w:rsidRPr="0058479E">
        <w:rPr>
          <w:rFonts w:ascii="Times" w:hAnsi="Times" w:cs="Times"/>
          <w:sz w:val="20"/>
          <w:lang w:val="en-US"/>
        </w:rPr>
        <w:t>the scientific goals of W7-X.</w:t>
      </w:r>
    </w:p>
    <w:p w14:paraId="0E87AF3E" w14:textId="0CCB4431" w:rsidR="0058479E" w:rsidRPr="0058479E" w:rsidRDefault="0058479E" w:rsidP="0058479E">
      <w:pPr>
        <w:tabs>
          <w:tab w:val="left" w:pos="426"/>
        </w:tabs>
        <w:jc w:val="both"/>
        <w:rPr>
          <w:rFonts w:ascii="Times" w:hAnsi="Times" w:cs="Times"/>
          <w:sz w:val="20"/>
          <w:lang w:val="en-US"/>
        </w:rPr>
      </w:pPr>
      <w:r w:rsidRPr="0058479E">
        <w:rPr>
          <w:rFonts w:ascii="Times" w:hAnsi="Times" w:cs="Times"/>
          <w:sz w:val="20"/>
          <w:lang w:val="en-US"/>
        </w:rPr>
        <w:t>In the long-pulse scenario, plasma operation for up to 30 minutes with reactor-relevant power fluxes of up to 10 MW/m</w:t>
      </w:r>
      <w:r w:rsidRPr="0058479E">
        <w:rPr>
          <w:rFonts w:ascii="Times" w:hAnsi="Times" w:cs="Times"/>
          <w:sz w:val="20"/>
          <w:vertAlign w:val="superscript"/>
          <w:lang w:val="en-US"/>
        </w:rPr>
        <w:t>2</w:t>
      </w:r>
      <w:r w:rsidRPr="0058479E">
        <w:rPr>
          <w:rFonts w:ascii="Times" w:hAnsi="Times" w:cs="Times"/>
          <w:sz w:val="20"/>
          <w:lang w:val="en-US"/>
        </w:rPr>
        <w:t xml:space="preserve"> on the plasma-facing components is to be demonstrated. </w:t>
      </w:r>
      <w:r w:rsidR="000D495E">
        <w:rPr>
          <w:rFonts w:ascii="Times" w:hAnsi="Times" w:cs="Times"/>
          <w:sz w:val="20"/>
          <w:lang w:val="en-US"/>
        </w:rPr>
        <w:t xml:space="preserve">To achieve this, </w:t>
      </w:r>
      <w:r w:rsidRPr="0058479E">
        <w:rPr>
          <w:rFonts w:ascii="Times" w:hAnsi="Times" w:cs="Times"/>
          <w:sz w:val="20"/>
          <w:lang w:val="en-US"/>
        </w:rPr>
        <w:t xml:space="preserve">ECRH with an absorbed power of 10 MW is required. For this purpose, two additional gyrotron positions will be equipped and fitted with 2 gyrotrons of the 1.5 MW power class. </w:t>
      </w:r>
    </w:p>
    <w:p w14:paraId="7C4BE3E1" w14:textId="67D332D2" w:rsidR="0058479E" w:rsidRDefault="0058479E" w:rsidP="0058479E">
      <w:pPr>
        <w:tabs>
          <w:tab w:val="left" w:pos="426"/>
        </w:tabs>
        <w:jc w:val="both"/>
        <w:rPr>
          <w:rFonts w:ascii="Times" w:hAnsi="Times" w:cs="Times"/>
          <w:sz w:val="20"/>
          <w:lang w:val="en-US"/>
        </w:rPr>
      </w:pPr>
      <w:r w:rsidRPr="0058479E">
        <w:rPr>
          <w:rFonts w:ascii="Times" w:hAnsi="Times" w:cs="Times"/>
          <w:sz w:val="20"/>
          <w:lang w:val="en-US"/>
        </w:rPr>
        <w:t>In the high beta scenario, plasma confinement at reactor-relevant pressures will be demonstr</w:t>
      </w:r>
      <w:r w:rsidR="0043471D">
        <w:rPr>
          <w:rFonts w:ascii="Times" w:hAnsi="Times" w:cs="Times"/>
          <w:sz w:val="20"/>
          <w:lang w:val="en-US"/>
        </w:rPr>
        <w:t xml:space="preserve">ated. For this, however, plasma </w:t>
      </w:r>
      <w:r w:rsidRPr="0058479E">
        <w:rPr>
          <w:rFonts w:ascii="Times" w:hAnsi="Times" w:cs="Times"/>
          <w:sz w:val="20"/>
          <w:lang w:val="en-US"/>
        </w:rPr>
        <w:t>heating powers of 20-30 MW are required, which</w:t>
      </w:r>
      <w:r w:rsidR="00872F9B">
        <w:rPr>
          <w:rFonts w:ascii="Times" w:hAnsi="Times" w:cs="Times"/>
          <w:sz w:val="20"/>
          <w:lang w:val="en-US"/>
        </w:rPr>
        <w:t xml:space="preserve"> can be achi</w:t>
      </w:r>
      <w:r w:rsidR="009237D9">
        <w:rPr>
          <w:rFonts w:ascii="Times" w:hAnsi="Times" w:cs="Times"/>
          <w:sz w:val="20"/>
          <w:lang w:val="en-US"/>
        </w:rPr>
        <w:t>e</w:t>
      </w:r>
      <w:r w:rsidR="00872F9B">
        <w:rPr>
          <w:rFonts w:ascii="Times" w:hAnsi="Times" w:cs="Times"/>
          <w:sz w:val="20"/>
          <w:lang w:val="en-US"/>
        </w:rPr>
        <w:t>ved</w:t>
      </w:r>
      <w:r w:rsidRPr="0058479E">
        <w:rPr>
          <w:rFonts w:ascii="Times" w:hAnsi="Times" w:cs="Times"/>
          <w:sz w:val="20"/>
          <w:lang w:val="en-US"/>
        </w:rPr>
        <w:t xml:space="preserve"> together with the N</w:t>
      </w:r>
      <w:r w:rsidR="0043471D">
        <w:rPr>
          <w:rFonts w:ascii="Times" w:hAnsi="Times" w:cs="Times"/>
          <w:sz w:val="20"/>
          <w:lang w:val="en-US"/>
        </w:rPr>
        <w:t xml:space="preserve">BI for plasma discharge length </w:t>
      </w:r>
      <w:r w:rsidR="00E56E7A">
        <w:rPr>
          <w:rFonts w:ascii="Times" w:hAnsi="Times" w:cs="Times"/>
          <w:sz w:val="20"/>
          <w:lang w:val="en-US"/>
        </w:rPr>
        <w:t xml:space="preserve">of up to 10 </w:t>
      </w:r>
      <w:r w:rsidRPr="0058479E">
        <w:rPr>
          <w:rFonts w:ascii="Times" w:hAnsi="Times" w:cs="Times"/>
          <w:sz w:val="20"/>
          <w:lang w:val="en-US"/>
        </w:rPr>
        <w:t>s</w:t>
      </w:r>
      <w:r w:rsidR="00872F9B">
        <w:rPr>
          <w:rFonts w:ascii="Times" w:hAnsi="Times" w:cs="Times"/>
          <w:sz w:val="20"/>
          <w:lang w:val="en-US"/>
        </w:rPr>
        <w:t>.</w:t>
      </w:r>
      <w:r w:rsidRPr="0058479E">
        <w:rPr>
          <w:rFonts w:ascii="Times" w:hAnsi="Times" w:cs="Times"/>
          <w:sz w:val="20"/>
          <w:lang w:val="en-US"/>
        </w:rPr>
        <w:t xml:space="preserve"> </w:t>
      </w:r>
      <w:r w:rsidR="00917F94">
        <w:rPr>
          <w:rFonts w:ascii="Times" w:hAnsi="Times" w:cs="Times"/>
          <w:sz w:val="20"/>
          <w:lang w:val="en-US"/>
        </w:rPr>
        <w:t xml:space="preserve">For this an </w:t>
      </w:r>
      <w:r w:rsidRPr="0058479E">
        <w:rPr>
          <w:rFonts w:ascii="Times" w:hAnsi="Times" w:cs="Times"/>
          <w:sz w:val="20"/>
          <w:lang w:val="en-US"/>
        </w:rPr>
        <w:t xml:space="preserve">ECRH </w:t>
      </w:r>
      <w:r w:rsidR="00917F94">
        <w:rPr>
          <w:rFonts w:ascii="Times" w:hAnsi="Times" w:cs="Times"/>
          <w:sz w:val="20"/>
          <w:lang w:val="en-US"/>
        </w:rPr>
        <w:t xml:space="preserve">expansion </w:t>
      </w:r>
      <w:r w:rsidRPr="0058479E">
        <w:rPr>
          <w:rFonts w:ascii="Times" w:hAnsi="Times" w:cs="Times"/>
          <w:sz w:val="20"/>
          <w:lang w:val="en-US"/>
        </w:rPr>
        <w:t xml:space="preserve">up to 18 MW </w:t>
      </w:r>
      <w:r w:rsidR="00917F94">
        <w:rPr>
          <w:rFonts w:ascii="Times" w:hAnsi="Times" w:cs="Times"/>
          <w:sz w:val="20"/>
          <w:lang w:val="en-US"/>
        </w:rPr>
        <w:t>is envisaged</w:t>
      </w:r>
      <w:r w:rsidRPr="0058479E">
        <w:rPr>
          <w:rFonts w:ascii="Times" w:hAnsi="Times" w:cs="Times"/>
          <w:sz w:val="20"/>
          <w:lang w:val="en-US"/>
        </w:rPr>
        <w:t>.   Because of the more favourable scaling properties for the normalised plasma pressure β, a lowering of the magnetic field to 1.7</w:t>
      </w:r>
      <w:r w:rsidR="00E56E7A">
        <w:rPr>
          <w:rFonts w:ascii="Times" w:hAnsi="Times" w:cs="Times"/>
          <w:sz w:val="20"/>
          <w:lang w:val="en-US"/>
        </w:rPr>
        <w:t xml:space="preserve"> </w:t>
      </w:r>
      <w:r w:rsidRPr="0058479E">
        <w:rPr>
          <w:rFonts w:ascii="Times" w:hAnsi="Times" w:cs="Times"/>
          <w:sz w:val="20"/>
          <w:lang w:val="en-US"/>
        </w:rPr>
        <w:t xml:space="preserve">T and the operation of the ECRH at the third harmonic X-mode (X3) is </w:t>
      </w:r>
      <w:r w:rsidR="00917F94">
        <w:rPr>
          <w:rFonts w:ascii="Times" w:hAnsi="Times" w:cs="Times"/>
          <w:sz w:val="20"/>
          <w:lang w:val="en-US"/>
        </w:rPr>
        <w:t xml:space="preserve">also </w:t>
      </w:r>
      <w:r w:rsidRPr="0058479E">
        <w:rPr>
          <w:rFonts w:ascii="Times" w:hAnsi="Times" w:cs="Times"/>
          <w:sz w:val="20"/>
          <w:lang w:val="en-US"/>
        </w:rPr>
        <w:t>plan</w:t>
      </w:r>
      <w:r w:rsidR="000D495E">
        <w:rPr>
          <w:rFonts w:ascii="Times" w:hAnsi="Times" w:cs="Times"/>
          <w:sz w:val="20"/>
          <w:lang w:val="en-US"/>
        </w:rPr>
        <w:t>n</w:t>
      </w:r>
      <w:r w:rsidRPr="0058479E">
        <w:rPr>
          <w:rFonts w:ascii="Times" w:hAnsi="Times" w:cs="Times"/>
          <w:sz w:val="20"/>
          <w:lang w:val="en-US"/>
        </w:rPr>
        <w:t>ed.</w:t>
      </w:r>
    </w:p>
    <w:p w14:paraId="7769B037" w14:textId="77777777" w:rsidR="0058479E" w:rsidRPr="0058479E" w:rsidRDefault="0058479E" w:rsidP="0058479E">
      <w:pPr>
        <w:tabs>
          <w:tab w:val="left" w:pos="426"/>
        </w:tabs>
        <w:jc w:val="both"/>
        <w:rPr>
          <w:rFonts w:ascii="Times" w:hAnsi="Times" w:cs="Times"/>
          <w:sz w:val="20"/>
          <w:lang w:val="en-US"/>
        </w:rPr>
      </w:pPr>
    </w:p>
    <w:p w14:paraId="3E75C9E8" w14:textId="5C1066FD" w:rsidR="0058479E" w:rsidRPr="0058479E" w:rsidRDefault="0058479E" w:rsidP="0058479E">
      <w:pPr>
        <w:tabs>
          <w:tab w:val="left" w:pos="426"/>
        </w:tabs>
        <w:spacing w:after="200" w:line="276" w:lineRule="auto"/>
        <w:jc w:val="both"/>
        <w:rPr>
          <w:rFonts w:ascii="Arial" w:hAnsi="Arial" w:cs="Arial"/>
          <w:b/>
          <w:sz w:val="20"/>
          <w:lang w:val="en"/>
        </w:rPr>
      </w:pPr>
      <w:r w:rsidRPr="0058479E">
        <w:rPr>
          <w:rFonts w:ascii="Arial" w:hAnsi="Arial" w:cs="Arial"/>
          <w:b/>
          <w:sz w:val="20"/>
          <w:lang w:val="en"/>
        </w:rPr>
        <w:t>General strategy</w:t>
      </w:r>
    </w:p>
    <w:p w14:paraId="47CF9509" w14:textId="5754FA65" w:rsidR="0058479E" w:rsidRDefault="0058479E" w:rsidP="0058479E">
      <w:pPr>
        <w:tabs>
          <w:tab w:val="left" w:pos="426"/>
        </w:tabs>
        <w:jc w:val="both"/>
        <w:rPr>
          <w:rFonts w:ascii="Times" w:hAnsi="Times" w:cs="Times"/>
          <w:sz w:val="20"/>
          <w:lang w:val="en-US"/>
        </w:rPr>
      </w:pPr>
      <w:r w:rsidRPr="0058479E">
        <w:rPr>
          <w:rFonts w:ascii="Times" w:hAnsi="Times" w:cs="Times"/>
          <w:sz w:val="20"/>
          <w:lang w:val="en-US"/>
        </w:rPr>
        <w:t xml:space="preserve">The strategy for ECRH expansion is based on previous experience with </w:t>
      </w:r>
      <w:r w:rsidR="000D495E">
        <w:rPr>
          <w:rFonts w:ascii="Times" w:hAnsi="Times" w:cs="Times"/>
          <w:sz w:val="20"/>
          <w:lang w:val="en-US"/>
        </w:rPr>
        <w:t xml:space="preserve">the </w:t>
      </w:r>
      <w:r w:rsidRPr="0058479E">
        <w:rPr>
          <w:rFonts w:ascii="Times" w:hAnsi="Times" w:cs="Times"/>
          <w:sz w:val="20"/>
          <w:lang w:val="en-US"/>
        </w:rPr>
        <w:t xml:space="preserve">ECRH </w:t>
      </w:r>
      <w:r w:rsidR="000D495E">
        <w:rPr>
          <w:rFonts w:ascii="Times" w:hAnsi="Times" w:cs="Times"/>
          <w:sz w:val="20"/>
          <w:lang w:val="en-US"/>
        </w:rPr>
        <w:t xml:space="preserve">systems </w:t>
      </w:r>
      <w:r w:rsidRPr="0058479E">
        <w:rPr>
          <w:rFonts w:ascii="Times" w:hAnsi="Times" w:cs="Times"/>
          <w:sz w:val="20"/>
          <w:lang w:val="en-US"/>
        </w:rPr>
        <w:t xml:space="preserve">at W7-X and other fusion plants. The main findings from this will be highlighted below.  </w:t>
      </w:r>
    </w:p>
    <w:p w14:paraId="12015AF9" w14:textId="77777777" w:rsidR="0058479E" w:rsidRPr="0058479E" w:rsidRDefault="0058479E" w:rsidP="0058479E">
      <w:pPr>
        <w:tabs>
          <w:tab w:val="left" w:pos="426"/>
        </w:tabs>
        <w:jc w:val="both"/>
        <w:rPr>
          <w:rFonts w:ascii="Times" w:hAnsi="Times" w:cs="Times"/>
          <w:sz w:val="20"/>
          <w:lang w:val="en-US"/>
        </w:rPr>
      </w:pPr>
    </w:p>
    <w:p w14:paraId="01954640" w14:textId="581EF355" w:rsidR="0058479E" w:rsidRPr="00447F79" w:rsidRDefault="0058479E" w:rsidP="0058479E">
      <w:pPr>
        <w:numPr>
          <w:ilvl w:val="0"/>
          <w:numId w:val="10"/>
        </w:numPr>
        <w:tabs>
          <w:tab w:val="left" w:pos="426"/>
        </w:tabs>
        <w:spacing w:after="200" w:line="276" w:lineRule="auto"/>
        <w:ind w:left="426"/>
        <w:jc w:val="both"/>
        <w:rPr>
          <w:rFonts w:ascii="Times" w:hAnsi="Times" w:cs="Times"/>
          <w:sz w:val="20"/>
          <w:highlight w:val="yellow"/>
          <w:lang w:val="en-US"/>
        </w:rPr>
      </w:pPr>
      <w:r w:rsidRPr="0058479E">
        <w:rPr>
          <w:rFonts w:ascii="Times" w:hAnsi="Times" w:cs="Times"/>
          <w:sz w:val="20"/>
          <w:lang w:val="en-US"/>
        </w:rPr>
        <w:t xml:space="preserve">The construction of </w:t>
      </w:r>
      <w:r w:rsidR="000D495E">
        <w:rPr>
          <w:rFonts w:ascii="Times" w:hAnsi="Times" w:cs="Times"/>
          <w:sz w:val="20"/>
          <w:lang w:val="en-US"/>
        </w:rPr>
        <w:t xml:space="preserve">non-modified </w:t>
      </w:r>
      <w:r w:rsidRPr="0058479E">
        <w:rPr>
          <w:rFonts w:ascii="Times" w:hAnsi="Times" w:cs="Times"/>
          <w:sz w:val="20"/>
          <w:lang w:val="en-US"/>
        </w:rPr>
        <w:t xml:space="preserve">series gyrotrons over many years prevents progress in gyrotron </w:t>
      </w:r>
      <w:r w:rsidRPr="0058479E">
        <w:rPr>
          <w:rFonts w:ascii="Times" w:hAnsi="Times" w:cs="Times"/>
          <w:sz w:val="20"/>
          <w:lang w:val="en-US"/>
        </w:rPr>
        <w:lastRenderedPageBreak/>
        <w:t xml:space="preserve">technology. At the end of a long delivery process, </w:t>
      </w:r>
      <w:r w:rsidR="00872F9B">
        <w:rPr>
          <w:rFonts w:ascii="Times" w:hAnsi="Times" w:cs="Times"/>
          <w:sz w:val="20"/>
          <w:lang w:val="en-US"/>
        </w:rPr>
        <w:t>the last series</w:t>
      </w:r>
      <w:r w:rsidRPr="0058479E">
        <w:rPr>
          <w:rFonts w:ascii="Times" w:hAnsi="Times" w:cs="Times"/>
          <w:sz w:val="20"/>
          <w:lang w:val="en-US"/>
        </w:rPr>
        <w:t xml:space="preserve"> gyrotrons are </w:t>
      </w:r>
      <w:r w:rsidR="00872F9B">
        <w:rPr>
          <w:rFonts w:ascii="Times" w:hAnsi="Times" w:cs="Times"/>
          <w:sz w:val="20"/>
          <w:lang w:val="en-US"/>
        </w:rPr>
        <w:t>already outdated</w:t>
      </w:r>
      <w:r w:rsidRPr="0058479E">
        <w:rPr>
          <w:rFonts w:ascii="Times" w:hAnsi="Times" w:cs="Times"/>
          <w:sz w:val="20"/>
          <w:lang w:val="en-US"/>
        </w:rPr>
        <w:t>.  This is especially the case when a number of gyrotrons requires a delivery time of 5-10 years.</w:t>
      </w:r>
      <w:r w:rsidR="00E56E7A">
        <w:rPr>
          <w:rFonts w:ascii="Times" w:hAnsi="Times" w:cs="Times"/>
          <w:sz w:val="20"/>
          <w:lang w:val="en-US"/>
        </w:rPr>
        <w:t xml:space="preserve"> </w:t>
      </w:r>
      <w:r w:rsidR="00E56E7A" w:rsidRPr="00447F79">
        <w:rPr>
          <w:rFonts w:ascii="Times" w:hAnsi="Times" w:cs="Times"/>
          <w:sz w:val="20"/>
          <w:highlight w:val="yellow"/>
          <w:lang w:val="en-US"/>
        </w:rPr>
        <w:t xml:space="preserve">In the past neither </w:t>
      </w:r>
      <w:r w:rsidR="00447F79" w:rsidRPr="00447F79">
        <w:rPr>
          <w:rFonts w:ascii="Times" w:hAnsi="Times" w:cs="Times"/>
          <w:sz w:val="20"/>
          <w:highlight w:val="yellow"/>
          <w:lang w:val="en-US"/>
        </w:rPr>
        <w:t>our gyrotron producer nor</w:t>
      </w:r>
      <w:r w:rsidR="00E56E7A" w:rsidRPr="00447F79">
        <w:rPr>
          <w:rFonts w:ascii="Times" w:hAnsi="Times" w:cs="Times"/>
          <w:sz w:val="20"/>
          <w:highlight w:val="yellow"/>
          <w:lang w:val="en-US"/>
        </w:rPr>
        <w:t xml:space="preserve"> the host team could deliver, install, test and commission more than 1 gyrotron per year.</w:t>
      </w:r>
    </w:p>
    <w:p w14:paraId="56B4BFC5" w14:textId="5661D2D4" w:rsidR="0058479E" w:rsidRPr="0058479E" w:rsidRDefault="00917F94" w:rsidP="0058479E">
      <w:pPr>
        <w:numPr>
          <w:ilvl w:val="0"/>
          <w:numId w:val="10"/>
        </w:numPr>
        <w:spacing w:after="200" w:line="276" w:lineRule="auto"/>
        <w:ind w:left="426" w:hanging="426"/>
        <w:jc w:val="both"/>
        <w:rPr>
          <w:rFonts w:ascii="Times" w:hAnsi="Times" w:cs="Times"/>
          <w:sz w:val="20"/>
          <w:lang w:val="en-US"/>
        </w:rPr>
      </w:pPr>
      <w:r>
        <w:rPr>
          <w:rFonts w:ascii="Times" w:hAnsi="Times" w:cs="Times"/>
          <w:sz w:val="20"/>
          <w:lang w:val="en-US"/>
        </w:rPr>
        <w:t xml:space="preserve">The </w:t>
      </w:r>
      <w:r w:rsidR="0058479E" w:rsidRPr="0058479E">
        <w:rPr>
          <w:rFonts w:ascii="Times" w:hAnsi="Times" w:cs="Times"/>
          <w:sz w:val="20"/>
          <w:lang w:val="en-US"/>
        </w:rPr>
        <w:t xml:space="preserve">ECRH system must be considered as a whole. The weakest components determine the performance. The individual components must be matched to each other as optimally as possible. This already applies to the building of the ECRH installation and the access space to the experiment.  The effort and cost of ECRH performance is far greater than the cost of providing adequate installation space, so economizing on installation space does not make sense. </w:t>
      </w:r>
    </w:p>
    <w:p w14:paraId="6F2DBD16" w14:textId="77777777" w:rsidR="0058479E" w:rsidRPr="0058479E" w:rsidRDefault="0058479E" w:rsidP="0058479E">
      <w:pPr>
        <w:numPr>
          <w:ilvl w:val="0"/>
          <w:numId w:val="10"/>
        </w:numPr>
        <w:tabs>
          <w:tab w:val="left" w:pos="426"/>
        </w:tabs>
        <w:spacing w:after="200" w:line="276" w:lineRule="auto"/>
        <w:ind w:left="426" w:hanging="426"/>
        <w:jc w:val="both"/>
        <w:rPr>
          <w:rFonts w:ascii="Times" w:hAnsi="Times" w:cs="Times"/>
          <w:sz w:val="20"/>
          <w:lang w:val="en-US"/>
        </w:rPr>
      </w:pPr>
      <w:r w:rsidRPr="0058479E">
        <w:rPr>
          <w:rFonts w:ascii="Times" w:hAnsi="Times" w:cs="Times"/>
          <w:sz w:val="20"/>
          <w:lang w:val="en-US"/>
        </w:rPr>
        <w:t xml:space="preserve">All components should be equipped with sufficient safety margin and reserves for a later power expansion since there must be technology progress expected. </w:t>
      </w:r>
    </w:p>
    <w:p w14:paraId="48BBD619" w14:textId="7D7BD33B" w:rsidR="0058479E" w:rsidRPr="0058479E" w:rsidRDefault="0058479E" w:rsidP="0058479E">
      <w:pPr>
        <w:numPr>
          <w:ilvl w:val="0"/>
          <w:numId w:val="10"/>
        </w:numPr>
        <w:tabs>
          <w:tab w:val="left" w:pos="426"/>
        </w:tabs>
        <w:spacing w:after="200" w:line="276" w:lineRule="auto"/>
        <w:ind w:left="426" w:hanging="426"/>
        <w:jc w:val="both"/>
        <w:rPr>
          <w:rFonts w:ascii="Times" w:hAnsi="Times" w:cs="Times"/>
          <w:sz w:val="20"/>
          <w:lang w:val="en-US"/>
        </w:rPr>
      </w:pPr>
      <w:r w:rsidRPr="0058479E">
        <w:rPr>
          <w:rFonts w:ascii="Times" w:hAnsi="Times" w:cs="Times"/>
          <w:sz w:val="20"/>
          <w:lang w:val="en-US"/>
        </w:rPr>
        <w:t xml:space="preserve">The control system in a long-pulse or continuous wave experiment is fundamentally different from that in a pulsed experiment. Here, the control system must analyse the interlock signal </w:t>
      </w:r>
      <w:r w:rsidR="00917F94">
        <w:rPr>
          <w:rFonts w:ascii="Times" w:hAnsi="Times" w:cs="Times"/>
          <w:sz w:val="20"/>
          <w:lang w:val="en-US"/>
        </w:rPr>
        <w:t>in real time</w:t>
      </w:r>
      <w:r w:rsidRPr="0058479E">
        <w:rPr>
          <w:rFonts w:ascii="Times" w:hAnsi="Times" w:cs="Times"/>
          <w:sz w:val="20"/>
          <w:lang w:val="en-US"/>
        </w:rPr>
        <w:t xml:space="preserve"> and, if necessary, enable a quick restart. It is also important to categorise the interlocks and carry out appropriate reactions, such as stop or warning messages. </w:t>
      </w:r>
    </w:p>
    <w:p w14:paraId="69116681" w14:textId="77777777" w:rsidR="0058479E" w:rsidRPr="0058479E" w:rsidRDefault="0058479E" w:rsidP="0058479E">
      <w:pPr>
        <w:numPr>
          <w:ilvl w:val="0"/>
          <w:numId w:val="10"/>
        </w:numPr>
        <w:tabs>
          <w:tab w:val="left" w:pos="426"/>
        </w:tabs>
        <w:spacing w:after="200" w:line="276" w:lineRule="auto"/>
        <w:ind w:left="426"/>
        <w:jc w:val="both"/>
        <w:rPr>
          <w:rFonts w:ascii="Times" w:hAnsi="Times" w:cs="Times"/>
          <w:sz w:val="20"/>
          <w:lang w:val="en-US"/>
        </w:rPr>
      </w:pPr>
      <w:r w:rsidRPr="0058479E">
        <w:rPr>
          <w:rFonts w:ascii="Times" w:hAnsi="Times" w:cs="Times"/>
          <w:sz w:val="20"/>
          <w:lang w:val="en-US"/>
        </w:rPr>
        <w:t xml:space="preserve">The complexity of the system must be minimized. Every unnecessary actuator, sensor, cooling circuit reduces the reliability of the system. For this reason, an existing system should always be checked for the possibility of simplifying or omitting components, sensors, etc.  These findings can then be </w:t>
      </w:r>
      <w:r w:rsidRPr="001E73EB">
        <w:rPr>
          <w:rFonts w:ascii="Times" w:hAnsi="Times" w:cs="Times"/>
          <w:sz w:val="20"/>
          <w:highlight w:val="yellow"/>
          <w:lang w:val="en-US"/>
        </w:rPr>
        <w:t>implemented</w:t>
      </w:r>
      <w:r w:rsidRPr="0058479E">
        <w:rPr>
          <w:rFonts w:ascii="Times" w:hAnsi="Times" w:cs="Times"/>
          <w:sz w:val="20"/>
          <w:lang w:val="en-US"/>
        </w:rPr>
        <w:t xml:space="preserve"> when planning the expansion.  </w:t>
      </w:r>
    </w:p>
    <w:p w14:paraId="5B965281" w14:textId="77777777" w:rsidR="0058479E" w:rsidRPr="0058479E" w:rsidRDefault="0058479E" w:rsidP="0058479E">
      <w:pPr>
        <w:tabs>
          <w:tab w:val="left" w:pos="426"/>
        </w:tabs>
        <w:spacing w:after="200" w:line="276" w:lineRule="auto"/>
        <w:jc w:val="both"/>
        <w:rPr>
          <w:rFonts w:ascii="Arial" w:hAnsi="Arial" w:cs="Arial"/>
          <w:b/>
          <w:sz w:val="20"/>
          <w:lang w:val="en"/>
        </w:rPr>
      </w:pPr>
      <w:r w:rsidRPr="0058479E">
        <w:rPr>
          <w:rFonts w:ascii="Arial" w:hAnsi="Arial" w:cs="Arial"/>
          <w:b/>
          <w:sz w:val="20"/>
          <w:lang w:val="en"/>
        </w:rPr>
        <w:t>Gyrotrons</w:t>
      </w:r>
    </w:p>
    <w:p w14:paraId="30E8116E" w14:textId="0BE9FED5" w:rsidR="0058479E" w:rsidRPr="0058479E" w:rsidRDefault="0058479E" w:rsidP="0058479E">
      <w:pPr>
        <w:tabs>
          <w:tab w:val="left" w:pos="426"/>
        </w:tabs>
        <w:jc w:val="both"/>
        <w:rPr>
          <w:sz w:val="20"/>
          <w:lang w:val="en-US"/>
        </w:rPr>
      </w:pPr>
      <w:r w:rsidRPr="0058479E">
        <w:rPr>
          <w:rFonts w:ascii="Times" w:hAnsi="Times" w:cs="Times"/>
          <w:sz w:val="20"/>
          <w:lang w:val="en-US"/>
        </w:rPr>
        <w:t>The strategy for increasing ECRH power is based on utilising the</w:t>
      </w:r>
      <w:r w:rsidR="00872F9B">
        <w:rPr>
          <w:rFonts w:ascii="Times" w:hAnsi="Times" w:cs="Times"/>
          <w:sz w:val="20"/>
          <w:lang w:val="en-US"/>
        </w:rPr>
        <w:t xml:space="preserve"> existing infrastructure for optional upgrades, which has been </w:t>
      </w:r>
      <w:r w:rsidRPr="0058479E">
        <w:rPr>
          <w:rFonts w:ascii="Times" w:hAnsi="Times" w:cs="Times"/>
          <w:sz w:val="20"/>
          <w:lang w:val="en-US"/>
        </w:rPr>
        <w:t xml:space="preserve">already planned in the initial installation. First of all, the two reserve positions F1 and F5 will be equipped with two new </w:t>
      </w:r>
      <w:r w:rsidR="000D495E">
        <w:rPr>
          <w:rFonts w:ascii="Times" w:hAnsi="Times" w:cs="Times"/>
          <w:sz w:val="20"/>
          <w:lang w:val="en-US"/>
        </w:rPr>
        <w:t xml:space="preserve">140 GHz CW </w:t>
      </w:r>
      <w:r w:rsidRPr="0058479E">
        <w:rPr>
          <w:rFonts w:ascii="Times" w:hAnsi="Times" w:cs="Times"/>
          <w:sz w:val="20"/>
          <w:lang w:val="en-US"/>
        </w:rPr>
        <w:t xml:space="preserve">gyrotrons of the 1.5 MW class. For each position, the entire </w:t>
      </w:r>
      <w:r w:rsidR="00872F9B">
        <w:rPr>
          <w:rFonts w:ascii="Times" w:hAnsi="Times" w:cs="Times"/>
          <w:sz w:val="20"/>
          <w:lang w:val="en-US"/>
        </w:rPr>
        <w:t>periphery</w:t>
      </w:r>
      <w:r w:rsidRPr="0058479E">
        <w:rPr>
          <w:rFonts w:ascii="Times" w:hAnsi="Times" w:cs="Times"/>
          <w:sz w:val="20"/>
          <w:lang w:val="en-US"/>
        </w:rPr>
        <w:t>, such as water cooling and transmission lines,</w:t>
      </w:r>
      <w:r w:rsidRPr="00DC10C0">
        <w:rPr>
          <w:lang w:val="en-US"/>
        </w:rPr>
        <w:t xml:space="preserve"> </w:t>
      </w:r>
      <w:r w:rsidRPr="0058479E">
        <w:rPr>
          <w:sz w:val="20"/>
          <w:lang w:val="en-US"/>
        </w:rPr>
        <w:t xml:space="preserve">will of course be built, taking into account previous experience. For example, the remote control of all transmission mirrors was </w:t>
      </w:r>
      <w:r w:rsidR="00917F94" w:rsidRPr="00917F94">
        <w:rPr>
          <w:sz w:val="20"/>
          <w:lang w:val="en-US"/>
        </w:rPr>
        <w:t>abandoned</w:t>
      </w:r>
      <w:r w:rsidRPr="0058479E">
        <w:rPr>
          <w:sz w:val="20"/>
          <w:lang w:val="en-US"/>
        </w:rPr>
        <w:t xml:space="preserve"> because it is only needed once during the adjustment phase and is then switched off. Manual adjustment is possible without any problems but needs more time.  The ECRH launchers were designed from the outset to operate with </w:t>
      </w:r>
      <w:r w:rsidRPr="0058479E">
        <w:rPr>
          <w:sz w:val="20"/>
          <w:lang w:val="en-US"/>
        </w:rPr>
        <w:t>12 beams. Also, all transmission components are already designed for a power of 2 MW, although so far they could be tested up to 1 MW</w:t>
      </w:r>
      <w:r w:rsidR="00872F9B" w:rsidRPr="00872F9B">
        <w:rPr>
          <w:sz w:val="20"/>
          <w:lang w:val="en-US"/>
        </w:rPr>
        <w:t xml:space="preserve"> </w:t>
      </w:r>
      <w:r w:rsidR="00872F9B" w:rsidRPr="0058479E">
        <w:rPr>
          <w:sz w:val="20"/>
          <w:lang w:val="en-US"/>
        </w:rPr>
        <w:t>only</w:t>
      </w:r>
      <w:r w:rsidRPr="0058479E">
        <w:rPr>
          <w:sz w:val="20"/>
          <w:lang w:val="en-US"/>
        </w:rPr>
        <w:t xml:space="preserve">. The high-voltage supply at the IPP can supply 12 gyrotron positions with 3.3 MW of electrical power each. </w:t>
      </w:r>
      <w:r w:rsidRPr="001E73EB">
        <w:rPr>
          <w:sz w:val="20"/>
          <w:highlight w:val="yellow"/>
          <w:lang w:val="en-US"/>
        </w:rPr>
        <w:t xml:space="preserve">For pulses of less than 10 s, even </w:t>
      </w:r>
      <w:r w:rsidR="000D495E" w:rsidRPr="001E73EB">
        <w:rPr>
          <w:sz w:val="20"/>
          <w:highlight w:val="yellow"/>
          <w:lang w:val="en-US"/>
        </w:rPr>
        <w:t>twice the electrical</w:t>
      </w:r>
      <w:r w:rsidRPr="001E73EB">
        <w:rPr>
          <w:sz w:val="20"/>
          <w:highlight w:val="yellow"/>
          <w:lang w:val="en-US"/>
        </w:rPr>
        <w:t xml:space="preserve"> power is possible.</w:t>
      </w:r>
      <w:r w:rsidRPr="0058479E">
        <w:rPr>
          <w:sz w:val="20"/>
          <w:lang w:val="en-US"/>
        </w:rPr>
        <w:t xml:space="preserve"> </w:t>
      </w:r>
    </w:p>
    <w:p w14:paraId="22AC1386" w14:textId="77777777" w:rsidR="0058479E" w:rsidRPr="0058479E" w:rsidRDefault="0058479E" w:rsidP="0058479E">
      <w:pPr>
        <w:tabs>
          <w:tab w:val="left" w:pos="426"/>
        </w:tabs>
        <w:jc w:val="both"/>
        <w:rPr>
          <w:rFonts w:ascii="Times" w:hAnsi="Times" w:cs="Times"/>
          <w:sz w:val="20"/>
          <w:lang w:val="en-US"/>
        </w:rPr>
      </w:pPr>
    </w:p>
    <w:p w14:paraId="3305CF29" w14:textId="77777777" w:rsidR="00090BBF" w:rsidRDefault="00090BBF" w:rsidP="0058479E">
      <w:pPr>
        <w:tabs>
          <w:tab w:val="left" w:pos="426"/>
        </w:tabs>
        <w:jc w:val="both"/>
        <w:rPr>
          <w:lang w:val="en-US"/>
        </w:rPr>
      </w:pPr>
      <w:r w:rsidRPr="00890869">
        <w:rPr>
          <w:noProof/>
          <w:lang w:val="en-US" w:eastAsia="en-US"/>
        </w:rPr>
        <w:drawing>
          <wp:inline distT="0" distB="0" distL="0" distR="0" wp14:anchorId="3F60047C" wp14:editId="6E10C47A">
            <wp:extent cx="2927350" cy="1307124"/>
            <wp:effectExtent l="0" t="0" r="635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946" cy="1311409"/>
                    </a:xfrm>
                    <a:prstGeom prst="rect">
                      <a:avLst/>
                    </a:prstGeom>
                    <a:noFill/>
                    <a:ln>
                      <a:noFill/>
                    </a:ln>
                  </pic:spPr>
                </pic:pic>
              </a:graphicData>
            </a:graphic>
          </wp:inline>
        </w:drawing>
      </w:r>
    </w:p>
    <w:p w14:paraId="00E93436" w14:textId="592A35AC" w:rsidR="00090BBF" w:rsidRPr="00090BBF" w:rsidRDefault="00090BBF" w:rsidP="00090BBF">
      <w:pPr>
        <w:tabs>
          <w:tab w:val="left" w:pos="426"/>
        </w:tabs>
        <w:jc w:val="both"/>
        <w:rPr>
          <w:rFonts w:ascii="Times" w:hAnsi="Times" w:cs="Times"/>
          <w:i/>
          <w:lang w:val="en-US"/>
        </w:rPr>
      </w:pPr>
      <w:r w:rsidRPr="00090BBF">
        <w:rPr>
          <w:rFonts w:ascii="Times" w:hAnsi="Times" w:cs="Times"/>
          <w:b/>
          <w:sz w:val="18"/>
          <w:szCs w:val="18"/>
        </w:rPr>
        <w:t>Fig. 1.</w:t>
      </w:r>
      <w:r w:rsidRPr="00090BBF">
        <w:rPr>
          <w:rFonts w:ascii="Times" w:hAnsi="Times" w:cs="Times"/>
          <w:i/>
          <w:lang w:val="en-US"/>
        </w:rPr>
        <w:t xml:space="preserve"> </w:t>
      </w:r>
      <w:r w:rsidRPr="00090BBF">
        <w:rPr>
          <w:rFonts w:ascii="Times" w:hAnsi="Times" w:cs="Times"/>
          <w:sz w:val="18"/>
          <w:szCs w:val="18"/>
          <w:lang w:val="en-US"/>
        </w:rPr>
        <w:t>Improvements in gyrotron design realised in step 1 and planned for step 2.</w:t>
      </w:r>
    </w:p>
    <w:p w14:paraId="43AD8C82" w14:textId="7B9298BF" w:rsidR="00090BBF" w:rsidRPr="00F6496A" w:rsidRDefault="00090BBF" w:rsidP="00090BBF">
      <w:pPr>
        <w:pStyle w:val="FigureNumbering"/>
      </w:pPr>
      <w:r w:rsidRPr="00F6496A">
        <w:rPr>
          <w:rFonts w:ascii="Times" w:hAnsi="Times"/>
          <w:b w:val="0"/>
          <w:bCs w:val="0"/>
        </w:rPr>
        <w:t>.</w:t>
      </w:r>
    </w:p>
    <w:p w14:paraId="123FF87E" w14:textId="77777777" w:rsidR="00090BBF" w:rsidRPr="00090BBF" w:rsidRDefault="00090BBF" w:rsidP="00090BBF">
      <w:pPr>
        <w:tabs>
          <w:tab w:val="left" w:pos="426"/>
        </w:tabs>
        <w:jc w:val="both"/>
        <w:rPr>
          <w:rFonts w:ascii="Times" w:hAnsi="Times" w:cs="Times"/>
          <w:sz w:val="20"/>
          <w:lang w:val="en-US"/>
        </w:rPr>
      </w:pPr>
      <w:r w:rsidRPr="00090BBF">
        <w:rPr>
          <w:rFonts w:ascii="Times" w:hAnsi="Times" w:cs="Times"/>
          <w:sz w:val="20"/>
          <w:lang w:val="en-US"/>
        </w:rPr>
        <w:t xml:space="preserve">The basic strategy is first to fill the vacant positions and then to replace the outdated, weaker gyrotrons with more modern, more powerful ones. The constraint is that the new gyrotrons should be as compatible as possible with the old installation, so that the system retains a high degree of modularity and parts from one position can be used in the others. This is also extremely labour and cost efficient and reduces the development risk for new components. </w:t>
      </w:r>
    </w:p>
    <w:p w14:paraId="3B2CAA1A" w14:textId="36C1B58F" w:rsidR="00090BBF" w:rsidRPr="00090BBF" w:rsidRDefault="00090BBF" w:rsidP="00090BBF">
      <w:pPr>
        <w:tabs>
          <w:tab w:val="left" w:pos="426"/>
        </w:tabs>
        <w:jc w:val="both"/>
        <w:rPr>
          <w:rFonts w:ascii="Times" w:hAnsi="Times" w:cs="Times"/>
          <w:sz w:val="20"/>
          <w:lang w:val="en-US"/>
        </w:rPr>
      </w:pPr>
      <w:r w:rsidRPr="00090BBF">
        <w:rPr>
          <w:rFonts w:ascii="Times" w:hAnsi="Times" w:cs="Times"/>
          <w:sz w:val="20"/>
          <w:lang w:val="en-US"/>
        </w:rPr>
        <w:t xml:space="preserve">Therefore, as shown in Fig.1 a new gyrotron has been developed together with KIT and Thales, which is based on the successful 1 MW W7-X design and is fully compatible with the existing system.  The original TE28.08 </w:t>
      </w:r>
      <w:r w:rsidR="000D495E">
        <w:rPr>
          <w:rFonts w:ascii="Times" w:hAnsi="Times" w:cs="Times"/>
          <w:sz w:val="20"/>
          <w:lang w:val="en-US"/>
        </w:rPr>
        <w:t xml:space="preserve">cavity </w:t>
      </w:r>
      <w:r w:rsidRPr="00090BBF">
        <w:rPr>
          <w:rFonts w:ascii="Times" w:hAnsi="Times" w:cs="Times"/>
          <w:sz w:val="20"/>
          <w:lang w:val="en-US"/>
        </w:rPr>
        <w:t xml:space="preserve">operation mode </w:t>
      </w:r>
      <w:r w:rsidR="00CD274F">
        <w:rPr>
          <w:rFonts w:ascii="Times" w:hAnsi="Times" w:cs="Times"/>
          <w:sz w:val="20"/>
          <w:lang w:val="en-US"/>
        </w:rPr>
        <w:t xml:space="preserve">was changed to the TE28.10 mode, </w:t>
      </w:r>
      <w:r w:rsidR="00CD274F" w:rsidRPr="00CD274F">
        <w:rPr>
          <w:rFonts w:ascii="Times" w:hAnsi="Times" w:cs="Times"/>
          <w:sz w:val="20"/>
          <w:highlight w:val="yellow"/>
          <w:lang w:val="en-US"/>
        </w:rPr>
        <w:t>which increase the cavity surface by 25%,</w:t>
      </w:r>
      <w:r w:rsidR="00CD274F">
        <w:rPr>
          <w:rFonts w:ascii="Times" w:hAnsi="Times" w:cs="Times"/>
          <w:sz w:val="20"/>
          <w:lang w:val="en-US"/>
        </w:rPr>
        <w:t xml:space="preserve"> </w:t>
      </w:r>
      <w:r w:rsidRPr="00090BBF">
        <w:rPr>
          <w:rFonts w:ascii="Times" w:hAnsi="Times" w:cs="Times"/>
          <w:sz w:val="20"/>
          <w:lang w:val="en-US"/>
        </w:rPr>
        <w:t xml:space="preserve"> The cavity cooling was also optimised even further, which made it possible to increase the output </w:t>
      </w:r>
      <w:r w:rsidR="00CD274F">
        <w:rPr>
          <w:rFonts w:ascii="Times" w:hAnsi="Times" w:cs="Times"/>
          <w:sz w:val="20"/>
          <w:lang w:val="en-US"/>
        </w:rPr>
        <w:t xml:space="preserve">by </w:t>
      </w:r>
      <w:r w:rsidR="00CD274F" w:rsidRPr="00CD274F">
        <w:rPr>
          <w:rFonts w:ascii="Times" w:hAnsi="Times" w:cs="Times"/>
          <w:sz w:val="20"/>
          <w:highlight w:val="yellow"/>
          <w:lang w:val="en-US"/>
        </w:rPr>
        <w:t>50%</w:t>
      </w:r>
      <w:r w:rsidR="00CD274F">
        <w:rPr>
          <w:rFonts w:ascii="Times" w:hAnsi="Times" w:cs="Times"/>
          <w:sz w:val="20"/>
          <w:lang w:val="en-US"/>
        </w:rPr>
        <w:t xml:space="preserve"> </w:t>
      </w:r>
      <w:r w:rsidRPr="00090BBF">
        <w:rPr>
          <w:rFonts w:ascii="Times" w:hAnsi="Times" w:cs="Times"/>
          <w:sz w:val="20"/>
          <w:lang w:val="en-US"/>
        </w:rPr>
        <w:t xml:space="preserve">power to 1.5 MW. Furthermore, the more than 20-year-old design of the </w:t>
      </w:r>
      <w:r w:rsidR="000D495E">
        <w:rPr>
          <w:rFonts w:ascii="Times" w:hAnsi="Times" w:cs="Times"/>
          <w:sz w:val="20"/>
          <w:lang w:val="en-US"/>
        </w:rPr>
        <w:t xml:space="preserve">internal </w:t>
      </w:r>
      <w:r w:rsidRPr="00090BBF">
        <w:rPr>
          <w:rFonts w:ascii="Times" w:hAnsi="Times" w:cs="Times"/>
          <w:sz w:val="20"/>
          <w:lang w:val="en-US"/>
        </w:rPr>
        <w:t xml:space="preserve">mode converter was optimised, increasing the mode conversion efficiency </w:t>
      </w:r>
      <w:r w:rsidR="00CD274F" w:rsidRPr="00CD274F">
        <w:rPr>
          <w:rFonts w:ascii="Times" w:hAnsi="Times" w:cs="Times"/>
          <w:sz w:val="20"/>
          <w:highlight w:val="yellow"/>
          <w:lang w:val="en-US"/>
        </w:rPr>
        <w:t xml:space="preserve">from the </w:t>
      </w:r>
      <w:r w:rsidR="00CD274F">
        <w:rPr>
          <w:rFonts w:ascii="Times" w:hAnsi="Times" w:cs="Times"/>
          <w:sz w:val="20"/>
          <w:highlight w:val="yellow"/>
          <w:lang w:val="en-US"/>
        </w:rPr>
        <w:t>gyrotron</w:t>
      </w:r>
      <w:r w:rsidR="00CD274F" w:rsidRPr="00CD274F">
        <w:rPr>
          <w:rFonts w:ascii="Times" w:hAnsi="Times" w:cs="Times"/>
          <w:sz w:val="20"/>
          <w:highlight w:val="yellow"/>
          <w:lang w:val="en-US"/>
        </w:rPr>
        <w:t xml:space="preserve"> mode to the HE11 output mode</w:t>
      </w:r>
      <w:r w:rsidR="00CD274F">
        <w:rPr>
          <w:rFonts w:ascii="Times" w:hAnsi="Times" w:cs="Times"/>
          <w:sz w:val="20"/>
          <w:lang w:val="en-US"/>
        </w:rPr>
        <w:t xml:space="preserve"> </w:t>
      </w:r>
      <w:r w:rsidRPr="00090BBF">
        <w:rPr>
          <w:rFonts w:ascii="Times" w:hAnsi="Times" w:cs="Times"/>
          <w:sz w:val="20"/>
          <w:lang w:val="en-US"/>
        </w:rPr>
        <w:t xml:space="preserve">from </w:t>
      </w:r>
      <w:r w:rsidR="005E7CA9">
        <w:rPr>
          <w:rFonts w:ascii="Times" w:hAnsi="Times" w:cs="Times"/>
          <w:sz w:val="20"/>
          <w:lang w:val="en-US"/>
        </w:rPr>
        <w:t xml:space="preserve">about 95% to 98%. Finally, </w:t>
      </w:r>
      <w:r w:rsidR="000D495E">
        <w:rPr>
          <w:rFonts w:ascii="Times" w:hAnsi="Times" w:cs="Times"/>
          <w:sz w:val="20"/>
          <w:lang w:val="en-US"/>
        </w:rPr>
        <w:t>the output coupler</w:t>
      </w:r>
      <w:r w:rsidR="005E7CA9">
        <w:rPr>
          <w:rFonts w:ascii="Times" w:hAnsi="Times" w:cs="Times"/>
          <w:sz w:val="20"/>
          <w:lang w:val="en-US"/>
        </w:rPr>
        <w:t xml:space="preserve"> </w:t>
      </w:r>
      <w:r w:rsidRPr="00090BBF">
        <w:rPr>
          <w:rFonts w:ascii="Times" w:hAnsi="Times" w:cs="Times"/>
          <w:sz w:val="20"/>
          <w:lang w:val="en-US"/>
        </w:rPr>
        <w:t xml:space="preserve">mirror opposite to the diamond window was </w:t>
      </w:r>
      <w:r w:rsidR="00FA5E36">
        <w:rPr>
          <w:rFonts w:ascii="Times" w:hAnsi="Times" w:cs="Times"/>
          <w:sz w:val="20"/>
          <w:lang w:val="en-US"/>
        </w:rPr>
        <w:t>improved to be</w:t>
      </w:r>
      <w:r w:rsidRPr="00090BBF">
        <w:rPr>
          <w:rFonts w:ascii="Times" w:hAnsi="Times" w:cs="Times"/>
          <w:sz w:val="20"/>
          <w:lang w:val="en-US"/>
        </w:rPr>
        <w:t xml:space="preserve"> externally adjustable, which should enable perfect centering of the microwave beam at the diamond window</w:t>
      </w:r>
      <w:r w:rsidR="00CD274F">
        <w:rPr>
          <w:rFonts w:ascii="Times" w:hAnsi="Times" w:cs="Times"/>
          <w:sz w:val="20"/>
          <w:lang w:val="en-US"/>
        </w:rPr>
        <w:t xml:space="preserve"> </w:t>
      </w:r>
      <w:r w:rsidR="00CD274F" w:rsidRPr="00AD37D0">
        <w:rPr>
          <w:rFonts w:ascii="Times" w:hAnsi="Times" w:cs="Times"/>
          <w:sz w:val="20"/>
          <w:highlight w:val="yellow"/>
          <w:lang w:val="en-US"/>
        </w:rPr>
        <w:t>in order to minimize thermal stresses</w:t>
      </w:r>
      <w:r w:rsidR="00AD37D0">
        <w:rPr>
          <w:rFonts w:ascii="Times" w:hAnsi="Times" w:cs="Times"/>
          <w:sz w:val="20"/>
          <w:highlight w:val="yellow"/>
          <w:lang w:val="en-US"/>
        </w:rPr>
        <w:t xml:space="preserve"> due to asymmetric loads</w:t>
      </w:r>
      <w:r w:rsidRPr="00AD37D0">
        <w:rPr>
          <w:rFonts w:ascii="Times" w:hAnsi="Times" w:cs="Times"/>
          <w:sz w:val="20"/>
          <w:highlight w:val="yellow"/>
          <w:lang w:val="en-US"/>
        </w:rPr>
        <w:t>.</w:t>
      </w:r>
      <w:r w:rsidRPr="00090BBF">
        <w:rPr>
          <w:rFonts w:ascii="Times" w:hAnsi="Times" w:cs="Times"/>
          <w:sz w:val="20"/>
          <w:lang w:val="en-US"/>
        </w:rPr>
        <w:t xml:space="preserve"> The new </w:t>
      </w:r>
      <w:r w:rsidR="00FA5E36">
        <w:rPr>
          <w:rFonts w:ascii="Times" w:hAnsi="Times" w:cs="Times"/>
          <w:sz w:val="20"/>
          <w:lang w:val="en-US"/>
        </w:rPr>
        <w:t xml:space="preserve">cavity and </w:t>
      </w:r>
      <w:r w:rsidRPr="00090BBF">
        <w:rPr>
          <w:rFonts w:ascii="Times" w:hAnsi="Times" w:cs="Times"/>
          <w:sz w:val="20"/>
          <w:lang w:val="en-US"/>
        </w:rPr>
        <w:t>microwave optic was successfully tested in advance in an almost identical short pulse gyrotron</w:t>
      </w:r>
      <w:r w:rsidR="00AD37D0">
        <w:rPr>
          <w:rFonts w:ascii="Times" w:hAnsi="Times" w:cs="Times"/>
          <w:sz w:val="20"/>
          <w:lang w:val="en-US"/>
        </w:rPr>
        <w:t xml:space="preserve">, </w:t>
      </w:r>
      <w:r w:rsidR="00AD37D0" w:rsidRPr="00AD37D0">
        <w:rPr>
          <w:rFonts w:ascii="Times" w:hAnsi="Times" w:cs="Times"/>
          <w:sz w:val="20"/>
          <w:highlight w:val="yellow"/>
          <w:lang w:val="en-US"/>
        </w:rPr>
        <w:t>where the 1.5 MW operation at 45 % efficiency was demonstrated in the millisecond range</w:t>
      </w:r>
      <w:r w:rsidR="00AD37D0">
        <w:rPr>
          <w:rFonts w:ascii="Times" w:hAnsi="Times" w:cs="Times"/>
          <w:sz w:val="20"/>
          <w:lang w:val="en-US"/>
        </w:rPr>
        <w:t xml:space="preserve"> </w:t>
      </w:r>
      <w:r w:rsidRPr="00090BBF">
        <w:rPr>
          <w:rFonts w:ascii="Times" w:hAnsi="Times" w:cs="Times"/>
          <w:sz w:val="20"/>
          <w:lang w:val="en-US"/>
        </w:rPr>
        <w:t>[</w:t>
      </w:r>
      <w:r w:rsidR="00363690">
        <w:rPr>
          <w:rFonts w:ascii="Times" w:hAnsi="Times" w:cs="Times"/>
          <w:sz w:val="20"/>
          <w:lang w:val="en-US"/>
        </w:rPr>
        <w:t>4</w:t>
      </w:r>
      <w:r w:rsidRPr="00090BBF">
        <w:rPr>
          <w:rFonts w:ascii="Times" w:hAnsi="Times" w:cs="Times"/>
          <w:sz w:val="20"/>
          <w:lang w:val="en-US"/>
        </w:rPr>
        <w:t xml:space="preserve">]. </w:t>
      </w:r>
    </w:p>
    <w:p w14:paraId="44607677" w14:textId="541344B7" w:rsidR="00090BBF" w:rsidRDefault="00090BBF" w:rsidP="00090BBF">
      <w:pPr>
        <w:tabs>
          <w:tab w:val="left" w:pos="426"/>
        </w:tabs>
        <w:jc w:val="both"/>
        <w:rPr>
          <w:rFonts w:ascii="Times" w:hAnsi="Times" w:cs="Times"/>
          <w:sz w:val="20"/>
          <w:lang w:val="en-US"/>
        </w:rPr>
      </w:pPr>
      <w:r w:rsidRPr="00090BBF">
        <w:rPr>
          <w:rFonts w:ascii="Times" w:hAnsi="Times" w:cs="Times"/>
          <w:sz w:val="20"/>
          <w:lang w:val="en-US"/>
        </w:rPr>
        <w:t xml:space="preserve">This development project, which is </w:t>
      </w:r>
      <w:r w:rsidR="009320FB">
        <w:rPr>
          <w:rFonts w:ascii="Times" w:hAnsi="Times" w:cs="Times"/>
          <w:sz w:val="20"/>
          <w:lang w:val="en-US"/>
        </w:rPr>
        <w:t>close to</w:t>
      </w:r>
      <w:r w:rsidRPr="00090BBF">
        <w:rPr>
          <w:rFonts w:ascii="Times" w:hAnsi="Times" w:cs="Times"/>
          <w:sz w:val="20"/>
          <w:lang w:val="en-US"/>
        </w:rPr>
        <w:t xml:space="preserve"> completion with the delivery of the industrial gyrotron to the KIT test facility, is part of a four-stage development program for increasing the ECRH power at W7-X up to 18 MW by 2030 as shown in Fig.2. The industrial gyrotrons are to be improved step by step in permanent cooperation with KIT and Thales. In the second step, which is currently being </w:t>
      </w:r>
      <w:r w:rsidR="00917F94">
        <w:rPr>
          <w:rFonts w:ascii="Times" w:hAnsi="Times" w:cs="Times"/>
          <w:sz w:val="20"/>
          <w:lang w:val="en-US"/>
        </w:rPr>
        <w:t>prepared</w:t>
      </w:r>
      <w:r w:rsidRPr="00090BBF">
        <w:rPr>
          <w:rFonts w:ascii="Times" w:hAnsi="Times" w:cs="Times"/>
          <w:sz w:val="20"/>
          <w:lang w:val="en-US"/>
        </w:rPr>
        <w:t>, 3 more 1.5 MW</w:t>
      </w:r>
      <w:r w:rsidR="009320FB">
        <w:rPr>
          <w:rFonts w:ascii="Times" w:hAnsi="Times" w:cs="Times"/>
          <w:sz w:val="20"/>
          <w:lang w:val="en-US"/>
        </w:rPr>
        <w:t xml:space="preserve"> CW</w:t>
      </w:r>
      <w:r w:rsidRPr="00090BBF">
        <w:rPr>
          <w:rFonts w:ascii="Times" w:hAnsi="Times" w:cs="Times"/>
          <w:sz w:val="20"/>
          <w:lang w:val="en-US"/>
        </w:rPr>
        <w:t xml:space="preserve"> gyro</w:t>
      </w:r>
      <w:r w:rsidR="009320FB">
        <w:rPr>
          <w:rFonts w:ascii="Times" w:hAnsi="Times" w:cs="Times"/>
          <w:sz w:val="20"/>
          <w:lang w:val="en-US"/>
        </w:rPr>
        <w:t>t</w:t>
      </w:r>
      <w:r w:rsidRPr="00090BBF">
        <w:rPr>
          <w:rFonts w:ascii="Times" w:hAnsi="Times" w:cs="Times"/>
          <w:sz w:val="20"/>
          <w:lang w:val="en-US"/>
        </w:rPr>
        <w:t xml:space="preserve">rons </w:t>
      </w:r>
      <w:r w:rsidR="00917F94">
        <w:rPr>
          <w:rFonts w:ascii="Times" w:hAnsi="Times" w:cs="Times"/>
          <w:sz w:val="20"/>
          <w:lang w:val="en-US"/>
        </w:rPr>
        <w:t>will be purchased</w:t>
      </w:r>
      <w:r w:rsidR="00872F9B">
        <w:rPr>
          <w:rFonts w:ascii="Times" w:hAnsi="Times" w:cs="Times"/>
          <w:sz w:val="20"/>
          <w:lang w:val="en-US"/>
        </w:rPr>
        <w:t>.</w:t>
      </w:r>
      <w:r w:rsidRPr="00090BBF">
        <w:rPr>
          <w:rFonts w:ascii="Times" w:hAnsi="Times" w:cs="Times"/>
          <w:sz w:val="20"/>
          <w:lang w:val="en-US"/>
        </w:rPr>
        <w:t xml:space="preserve"> </w:t>
      </w:r>
      <w:r w:rsidR="00872F9B">
        <w:rPr>
          <w:rFonts w:ascii="Times" w:hAnsi="Times" w:cs="Times"/>
          <w:sz w:val="20"/>
          <w:lang w:val="en-US"/>
        </w:rPr>
        <w:t>Their</w:t>
      </w:r>
      <w:r w:rsidRPr="00090BBF">
        <w:rPr>
          <w:rFonts w:ascii="Times" w:hAnsi="Times" w:cs="Times"/>
          <w:sz w:val="20"/>
          <w:lang w:val="en-US"/>
        </w:rPr>
        <w:t xml:space="preserve"> critical components, however, will be successively developed to the 2 MW power class level, so that a 2 MW prototype gyrotron can b</w:t>
      </w:r>
      <w:r w:rsidR="005E7CA9">
        <w:rPr>
          <w:rFonts w:ascii="Times" w:hAnsi="Times" w:cs="Times"/>
          <w:sz w:val="20"/>
          <w:lang w:val="en-US"/>
        </w:rPr>
        <w:t>e built in the third step. If this</w:t>
      </w:r>
      <w:r w:rsidRPr="00090BBF">
        <w:rPr>
          <w:rFonts w:ascii="Times" w:hAnsi="Times" w:cs="Times"/>
          <w:sz w:val="20"/>
          <w:lang w:val="en-US"/>
        </w:rPr>
        <w:t xml:space="preserve"> is successful, 3 more </w:t>
      </w:r>
      <w:r w:rsidR="009320FB">
        <w:rPr>
          <w:rFonts w:ascii="Times" w:hAnsi="Times" w:cs="Times"/>
          <w:sz w:val="20"/>
          <w:lang w:val="en-US"/>
        </w:rPr>
        <w:t xml:space="preserve">CW </w:t>
      </w:r>
      <w:r w:rsidRPr="00090BBF">
        <w:rPr>
          <w:rFonts w:ascii="Times" w:hAnsi="Times" w:cs="Times"/>
          <w:sz w:val="20"/>
          <w:lang w:val="en-US"/>
        </w:rPr>
        <w:t xml:space="preserve">gyrotrons </w:t>
      </w:r>
      <w:r w:rsidRPr="00090BBF">
        <w:rPr>
          <w:rFonts w:ascii="Times" w:hAnsi="Times" w:cs="Times"/>
          <w:sz w:val="20"/>
          <w:lang w:val="en-US"/>
        </w:rPr>
        <w:lastRenderedPageBreak/>
        <w:t>of the 2 MW class would be ordered in a fourth step, whereby successive improvements should also be possible.</w:t>
      </w:r>
      <w:r w:rsidR="0038187F">
        <w:rPr>
          <w:rFonts w:ascii="Times" w:hAnsi="Times" w:cs="Times"/>
          <w:sz w:val="20"/>
          <w:lang w:val="en-US"/>
        </w:rPr>
        <w:t xml:space="preserve"> </w:t>
      </w:r>
      <w:r w:rsidR="0038187F" w:rsidRPr="0038187F">
        <w:rPr>
          <w:rFonts w:ascii="Times" w:hAnsi="Times" w:cs="Times"/>
          <w:sz w:val="20"/>
          <w:highlight w:val="yellow"/>
          <w:lang w:val="en-US"/>
        </w:rPr>
        <w:t>In this process the risks are shared between consumers and industry.</w:t>
      </w:r>
      <w:r w:rsidRPr="00090BBF">
        <w:rPr>
          <w:rFonts w:ascii="Times" w:hAnsi="Times" w:cs="Times"/>
          <w:sz w:val="20"/>
          <w:lang w:val="en-US"/>
        </w:rPr>
        <w:t xml:space="preserve"> This strategy will promote European gyrotron development and ensure that the most modern gyrotrons are always</w:t>
      </w:r>
      <w:r w:rsidR="005E7CA9">
        <w:rPr>
          <w:rFonts w:ascii="Times" w:hAnsi="Times" w:cs="Times"/>
          <w:sz w:val="20"/>
          <w:lang w:val="en-US"/>
        </w:rPr>
        <w:t xml:space="preserve"> available and</w:t>
      </w:r>
      <w:r w:rsidRPr="00090BBF">
        <w:rPr>
          <w:rFonts w:ascii="Times" w:hAnsi="Times" w:cs="Times"/>
          <w:sz w:val="20"/>
          <w:lang w:val="en-US"/>
        </w:rPr>
        <w:t xml:space="preserve"> acquired.</w:t>
      </w:r>
    </w:p>
    <w:p w14:paraId="3532FDC0" w14:textId="77777777" w:rsidR="00090BBF" w:rsidRDefault="00090BBF" w:rsidP="00090BBF">
      <w:pPr>
        <w:tabs>
          <w:tab w:val="left" w:pos="426"/>
        </w:tabs>
        <w:jc w:val="both"/>
        <w:rPr>
          <w:rFonts w:ascii="Times" w:hAnsi="Times" w:cs="Times"/>
          <w:sz w:val="20"/>
          <w:lang w:val="en-US"/>
        </w:rPr>
      </w:pPr>
    </w:p>
    <w:p w14:paraId="654C98D7" w14:textId="144E7A0E" w:rsidR="00090BBF" w:rsidRDefault="00090BBF" w:rsidP="00090BBF">
      <w:pPr>
        <w:tabs>
          <w:tab w:val="left" w:pos="426"/>
        </w:tabs>
        <w:jc w:val="both"/>
        <w:rPr>
          <w:rFonts w:ascii="Times" w:hAnsi="Times" w:cs="Times"/>
          <w:sz w:val="20"/>
          <w:lang w:val="en-US"/>
        </w:rPr>
      </w:pPr>
      <w:r w:rsidRPr="00206EED">
        <w:rPr>
          <w:noProof/>
          <w:lang w:val="en-US" w:eastAsia="en-US"/>
        </w:rPr>
        <w:drawing>
          <wp:inline distT="0" distB="0" distL="0" distR="0" wp14:anchorId="46905243" wp14:editId="240D8CCE">
            <wp:extent cx="2831465" cy="1546574"/>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1465" cy="1546574"/>
                    </a:xfrm>
                    <a:prstGeom prst="rect">
                      <a:avLst/>
                    </a:prstGeom>
                    <a:noFill/>
                    <a:ln>
                      <a:noFill/>
                    </a:ln>
                  </pic:spPr>
                </pic:pic>
              </a:graphicData>
            </a:graphic>
          </wp:inline>
        </w:drawing>
      </w:r>
    </w:p>
    <w:p w14:paraId="21AD16C5" w14:textId="77777777" w:rsidR="00B223A1" w:rsidRPr="00090BBF" w:rsidRDefault="00B223A1" w:rsidP="00090BBF">
      <w:pPr>
        <w:tabs>
          <w:tab w:val="left" w:pos="426"/>
        </w:tabs>
        <w:jc w:val="both"/>
        <w:rPr>
          <w:rFonts w:ascii="Times" w:hAnsi="Times" w:cs="Times"/>
          <w:sz w:val="20"/>
          <w:lang w:val="en-US"/>
        </w:rPr>
      </w:pPr>
    </w:p>
    <w:p w14:paraId="5AEF84E1" w14:textId="4037C86F" w:rsidR="0058479E" w:rsidRDefault="00090BBF" w:rsidP="0058479E">
      <w:pPr>
        <w:tabs>
          <w:tab w:val="left" w:pos="426"/>
        </w:tabs>
        <w:jc w:val="both"/>
        <w:rPr>
          <w:rFonts w:ascii="Times" w:hAnsi="Times" w:cs="Times"/>
          <w:sz w:val="18"/>
          <w:szCs w:val="18"/>
          <w:lang w:val="en-US"/>
        </w:rPr>
      </w:pPr>
      <w:r w:rsidRPr="00090BBF">
        <w:rPr>
          <w:rFonts w:ascii="Times" w:hAnsi="Times" w:cs="Times"/>
          <w:b/>
          <w:sz w:val="18"/>
          <w:szCs w:val="18"/>
          <w:lang w:val="en-US"/>
        </w:rPr>
        <w:t>Fig. 2.</w:t>
      </w:r>
      <w:r w:rsidRPr="00090BBF">
        <w:rPr>
          <w:rFonts w:ascii="Times" w:hAnsi="Times" w:cs="Times"/>
          <w:sz w:val="18"/>
          <w:szCs w:val="18"/>
          <w:lang w:val="en-US"/>
        </w:rPr>
        <w:t xml:space="preserve"> Four Step Strategy for the ECRH-upgrade at W7-X. Step 1 and step 2 are already approved.</w:t>
      </w:r>
    </w:p>
    <w:p w14:paraId="371117E0" w14:textId="77777777" w:rsidR="0007205F" w:rsidRPr="00090BBF" w:rsidRDefault="0007205F" w:rsidP="0058479E">
      <w:pPr>
        <w:tabs>
          <w:tab w:val="left" w:pos="426"/>
        </w:tabs>
        <w:jc w:val="both"/>
        <w:rPr>
          <w:rFonts w:ascii="Times" w:hAnsi="Times" w:cs="Times"/>
          <w:sz w:val="18"/>
          <w:szCs w:val="18"/>
          <w:lang w:val="en-US"/>
        </w:rPr>
      </w:pPr>
    </w:p>
    <w:p w14:paraId="7FF6B363" w14:textId="77777777" w:rsidR="00090BBF" w:rsidRPr="00090BBF" w:rsidRDefault="00090BBF" w:rsidP="00090BBF">
      <w:pPr>
        <w:tabs>
          <w:tab w:val="left" w:pos="426"/>
        </w:tabs>
        <w:spacing w:after="200" w:line="276" w:lineRule="auto"/>
        <w:jc w:val="both"/>
        <w:rPr>
          <w:rFonts w:ascii="Arial" w:hAnsi="Arial" w:cs="Arial"/>
          <w:b/>
          <w:sz w:val="20"/>
          <w:lang w:val="en"/>
        </w:rPr>
      </w:pPr>
      <w:r w:rsidRPr="00090BBF">
        <w:rPr>
          <w:rFonts w:ascii="Arial" w:hAnsi="Arial" w:cs="Arial"/>
          <w:b/>
          <w:sz w:val="20"/>
          <w:lang w:val="en"/>
        </w:rPr>
        <w:t xml:space="preserve">Transmission line </w:t>
      </w:r>
    </w:p>
    <w:p w14:paraId="364CD7EC" w14:textId="3AF7F241" w:rsidR="00090BBF" w:rsidRPr="00090BBF" w:rsidRDefault="00090BBF" w:rsidP="00090BBF">
      <w:pPr>
        <w:tabs>
          <w:tab w:val="left" w:pos="426"/>
        </w:tabs>
        <w:jc w:val="both"/>
        <w:rPr>
          <w:rFonts w:ascii="Times" w:hAnsi="Times" w:cs="Times"/>
          <w:sz w:val="20"/>
          <w:lang w:val="en-US"/>
        </w:rPr>
      </w:pPr>
      <w:r w:rsidRPr="00090BBF">
        <w:rPr>
          <w:rFonts w:ascii="Times" w:hAnsi="Times" w:cs="Times"/>
          <w:sz w:val="20"/>
          <w:lang w:val="en-US"/>
        </w:rPr>
        <w:t>In line with the increase of the number of gyrotrons from 10 to 12, the transmission line must also be expanded by two more beams. However, this is only necessary for the indi</w:t>
      </w:r>
      <w:r w:rsidR="0038187F">
        <w:rPr>
          <w:rFonts w:ascii="Times" w:hAnsi="Times" w:cs="Times"/>
          <w:sz w:val="20"/>
          <w:lang w:val="en-US"/>
        </w:rPr>
        <w:t>vidual beam sections. The multi-</w:t>
      </w:r>
      <w:r w:rsidRPr="00090BBF">
        <w:rPr>
          <w:rFonts w:ascii="Times" w:hAnsi="Times" w:cs="Times"/>
          <w:sz w:val="20"/>
          <w:lang w:val="en-US"/>
        </w:rPr>
        <w:t>beam section is already designed for 12 beams and does not require any additional adjustment</w:t>
      </w:r>
      <w:r w:rsidR="0038187F">
        <w:rPr>
          <w:rFonts w:ascii="Times" w:hAnsi="Times" w:cs="Times"/>
          <w:sz w:val="20"/>
          <w:lang w:val="en-US"/>
        </w:rPr>
        <w:t xml:space="preserve">, since it was already aligned for the existing beams. </w:t>
      </w:r>
      <w:r w:rsidRPr="00090BBF">
        <w:rPr>
          <w:rFonts w:ascii="Times" w:hAnsi="Times" w:cs="Times"/>
          <w:sz w:val="20"/>
          <w:lang w:val="en-US"/>
        </w:rPr>
        <w:t xml:space="preserve">.A new </w:t>
      </w:r>
      <w:r w:rsidR="009320FB">
        <w:rPr>
          <w:rFonts w:ascii="Times" w:hAnsi="Times" w:cs="Times"/>
          <w:sz w:val="20"/>
          <w:lang w:val="en-US"/>
        </w:rPr>
        <w:t xml:space="preserve">microwave </w:t>
      </w:r>
      <w:r w:rsidRPr="00090BBF">
        <w:rPr>
          <w:rFonts w:ascii="Times" w:hAnsi="Times" w:cs="Times"/>
          <w:sz w:val="20"/>
          <w:lang w:val="en-US"/>
        </w:rPr>
        <w:t xml:space="preserve">beam only needs to be adjusted on the beam combining mirror and it is automatically imaged on the beam dividing mirror. In addition, the new mirrors were designed with the proven technology of a stainless steel base body with cooling channels on which a 2 mm thick copper layer is </w:t>
      </w:r>
      <w:r w:rsidR="009320FB">
        <w:rPr>
          <w:rFonts w:ascii="Times" w:hAnsi="Times" w:cs="Times"/>
          <w:sz w:val="20"/>
          <w:lang w:val="en-US"/>
        </w:rPr>
        <w:t>electroplated</w:t>
      </w:r>
      <w:r w:rsidRPr="00090BBF">
        <w:rPr>
          <w:rFonts w:ascii="Times" w:hAnsi="Times" w:cs="Times"/>
          <w:sz w:val="20"/>
          <w:lang w:val="en-US"/>
        </w:rPr>
        <w:t>. The launcher in the plasma vessel was already buil</w:t>
      </w:r>
      <w:r w:rsidR="00991F82">
        <w:rPr>
          <w:rFonts w:ascii="Times" w:hAnsi="Times" w:cs="Times"/>
          <w:sz w:val="20"/>
          <w:lang w:val="en-US"/>
        </w:rPr>
        <w:t>t</w:t>
      </w:r>
      <w:r w:rsidRPr="00090BBF">
        <w:rPr>
          <w:rFonts w:ascii="Times" w:hAnsi="Times" w:cs="Times"/>
          <w:sz w:val="20"/>
          <w:lang w:val="en-US"/>
        </w:rPr>
        <w:t xml:space="preserve"> for 12 beams. </w:t>
      </w:r>
    </w:p>
    <w:p w14:paraId="3D04556C" w14:textId="169C28DE" w:rsidR="00090BBF" w:rsidRPr="00090BBF" w:rsidRDefault="00090BBF" w:rsidP="00090BBF">
      <w:pPr>
        <w:tabs>
          <w:tab w:val="left" w:pos="426"/>
        </w:tabs>
        <w:jc w:val="both"/>
        <w:rPr>
          <w:rFonts w:ascii="Times" w:hAnsi="Times" w:cs="Times"/>
          <w:sz w:val="20"/>
          <w:lang w:val="en-US"/>
        </w:rPr>
      </w:pPr>
      <w:r w:rsidRPr="00090BBF">
        <w:rPr>
          <w:rFonts w:ascii="Times" w:hAnsi="Times" w:cs="Times"/>
          <w:sz w:val="20"/>
          <w:lang w:val="en-US"/>
        </w:rPr>
        <w:t xml:space="preserve">In addition to increasing the number of beams, their transmission capacity must also be </w:t>
      </w:r>
      <w:r w:rsidR="00EE0718">
        <w:rPr>
          <w:rFonts w:ascii="Times" w:hAnsi="Times" w:cs="Times"/>
          <w:sz w:val="20"/>
          <w:lang w:val="en-US"/>
        </w:rPr>
        <w:t>raised</w:t>
      </w:r>
      <w:r w:rsidRPr="00090BBF">
        <w:rPr>
          <w:rFonts w:ascii="Times" w:hAnsi="Times" w:cs="Times"/>
          <w:sz w:val="20"/>
          <w:lang w:val="en-US"/>
        </w:rPr>
        <w:t xml:space="preserve"> to the increased beam power of 1.5 and later 2 MW. The cooling capacity of the mirrors was already designed for 2 MW beam power, but the previous experimental campaigns showed that problems due to arcing at certain points in the transmission line already occurred below 1 MW. This was particularly problematic in the summer months with high absolute humidity. The problem mainly occurs between mirror no. 13 and no. 14 in the transmission line where a tiny vertical focus</w:t>
      </w:r>
      <w:r w:rsidR="00EA371F">
        <w:rPr>
          <w:rFonts w:ascii="Times" w:hAnsi="Times" w:cs="Times"/>
          <w:sz w:val="20"/>
          <w:lang w:val="en-US"/>
        </w:rPr>
        <w:t xml:space="preserve"> </w:t>
      </w:r>
      <w:r w:rsidRPr="00071DB6">
        <w:rPr>
          <w:rFonts w:ascii="Times" w:hAnsi="Times" w:cs="Times"/>
          <w:sz w:val="20"/>
          <w:lang w:val="en-US"/>
        </w:rPr>
        <w:t>exist</w:t>
      </w:r>
      <w:r w:rsidR="005E7CA9" w:rsidRPr="00071DB6">
        <w:rPr>
          <w:rFonts w:ascii="Times" w:hAnsi="Times" w:cs="Times"/>
          <w:sz w:val="20"/>
          <w:lang w:val="en-US"/>
        </w:rPr>
        <w:t>s</w:t>
      </w:r>
      <w:r w:rsidRPr="00071DB6">
        <w:rPr>
          <w:rFonts w:ascii="Times" w:hAnsi="Times" w:cs="Times"/>
          <w:sz w:val="20"/>
          <w:lang w:val="en-US"/>
        </w:rPr>
        <w:t>.</w:t>
      </w:r>
      <w:r w:rsidR="00071DB6">
        <w:rPr>
          <w:rFonts w:ascii="Times" w:hAnsi="Times" w:cs="Times"/>
          <w:sz w:val="20"/>
          <w:lang w:val="en-US"/>
        </w:rPr>
        <w:t xml:space="preserve"> </w:t>
      </w:r>
      <w:r w:rsidR="00071DB6" w:rsidRPr="00071DB6">
        <w:rPr>
          <w:rFonts w:ascii="Times" w:hAnsi="Times" w:cs="Times"/>
          <w:sz w:val="20"/>
          <w:highlight w:val="yellow"/>
          <w:lang w:val="en-US"/>
        </w:rPr>
        <w:t xml:space="preserve">Its waist varies between </w:t>
      </w:r>
      <w:r w:rsidR="00071DB6" w:rsidRPr="00071DB6">
        <w:rPr>
          <w:rFonts w:ascii="Times" w:hAnsi="Times" w:cs="Times"/>
          <w:sz w:val="20"/>
          <w:highlight w:val="yellow"/>
          <w:lang w:val="en-US"/>
        </w:rPr>
        <w:t>11</w:t>
      </w:r>
      <w:r w:rsidR="00071DB6" w:rsidRPr="00071DB6">
        <w:rPr>
          <w:rFonts w:ascii="Times" w:hAnsi="Times" w:cs="Times"/>
          <w:sz w:val="20"/>
          <w:highlight w:val="yellow"/>
          <w:lang w:val="en-US"/>
        </w:rPr>
        <w:t xml:space="preserve"> </w:t>
      </w:r>
      <w:r w:rsidR="00071DB6">
        <w:rPr>
          <w:rFonts w:ascii="Times" w:hAnsi="Times" w:cs="Times"/>
          <w:sz w:val="20"/>
          <w:highlight w:val="yellow"/>
          <w:lang w:val="en-US"/>
        </w:rPr>
        <w:t xml:space="preserve">mm </w:t>
      </w:r>
      <w:r w:rsidR="00071DB6" w:rsidRPr="00071DB6">
        <w:rPr>
          <w:rFonts w:ascii="Times" w:hAnsi="Times" w:cs="Times"/>
          <w:sz w:val="20"/>
          <w:highlight w:val="yellow"/>
          <w:lang w:val="en-US"/>
        </w:rPr>
        <w:t xml:space="preserve">and </w:t>
      </w:r>
      <w:r w:rsidR="00071DB6" w:rsidRPr="00071DB6">
        <w:rPr>
          <w:rFonts w:ascii="Times" w:hAnsi="Times" w:cs="Times"/>
          <w:sz w:val="20"/>
          <w:highlight w:val="yellow"/>
          <w:lang w:val="en-US"/>
        </w:rPr>
        <w:t xml:space="preserve">20 mm depending of the </w:t>
      </w:r>
      <w:r w:rsidR="00071DB6">
        <w:rPr>
          <w:rFonts w:ascii="Times" w:hAnsi="Times" w:cs="Times"/>
          <w:sz w:val="20"/>
          <w:highlight w:val="yellow"/>
          <w:lang w:val="en-US"/>
        </w:rPr>
        <w:t xml:space="preserve">beam line </w:t>
      </w:r>
    </w:p>
    <w:p w14:paraId="782AB40A" w14:textId="00CA33B8" w:rsidR="00FC4606" w:rsidRDefault="00090BBF" w:rsidP="00AB5D47">
      <w:pPr>
        <w:tabs>
          <w:tab w:val="left" w:pos="426"/>
        </w:tabs>
        <w:jc w:val="both"/>
        <w:rPr>
          <w:rFonts w:ascii="Times" w:hAnsi="Times" w:cs="Times"/>
          <w:sz w:val="20"/>
          <w:lang w:val="en-US"/>
        </w:rPr>
      </w:pPr>
      <w:r w:rsidRPr="00090BBF">
        <w:rPr>
          <w:rFonts w:ascii="Times" w:hAnsi="Times" w:cs="Times"/>
          <w:sz w:val="20"/>
          <w:lang w:val="en-US"/>
        </w:rPr>
        <w:t xml:space="preserve">Here the electric field strength is strongest and the convection air flow is in the unfavourable direction parallel to the beam. Therefore, the design of the mirror 13/14 combination was </w:t>
      </w:r>
      <w:r w:rsidR="00EE0718">
        <w:rPr>
          <w:rFonts w:ascii="Times" w:hAnsi="Times" w:cs="Times"/>
          <w:sz w:val="20"/>
          <w:lang w:val="en-US"/>
        </w:rPr>
        <w:t>modified</w:t>
      </w:r>
      <w:r w:rsidRPr="00090BBF">
        <w:rPr>
          <w:rFonts w:ascii="Times" w:hAnsi="Times" w:cs="Times"/>
          <w:sz w:val="20"/>
          <w:lang w:val="en-US"/>
        </w:rPr>
        <w:t xml:space="preserve"> in such a way that the beam waist at the focal point was enlarged. This was initially implemented for the two new beam lines</w:t>
      </w:r>
      <w:r w:rsidR="00B66A72">
        <w:rPr>
          <w:rFonts w:ascii="Times" w:hAnsi="Times" w:cs="Times"/>
          <w:sz w:val="20"/>
          <w:lang w:val="en-US"/>
        </w:rPr>
        <w:t xml:space="preserve">, </w:t>
      </w:r>
      <w:r w:rsidR="00B66A72" w:rsidRPr="00B66A72">
        <w:rPr>
          <w:rFonts w:ascii="Times" w:hAnsi="Times" w:cs="Times"/>
          <w:sz w:val="20"/>
          <w:highlight w:val="yellow"/>
          <w:lang w:val="en-US"/>
        </w:rPr>
        <w:t>but can be also implanted in the existing beam lines if necessary</w:t>
      </w:r>
      <w:r w:rsidRPr="00B66A72">
        <w:rPr>
          <w:rFonts w:ascii="Times" w:hAnsi="Times" w:cs="Times"/>
          <w:sz w:val="20"/>
          <w:highlight w:val="yellow"/>
          <w:lang w:val="en-US"/>
        </w:rPr>
        <w:t>.</w:t>
      </w:r>
      <w:r w:rsidRPr="00090BBF">
        <w:rPr>
          <w:rFonts w:ascii="Times" w:hAnsi="Times" w:cs="Times"/>
          <w:sz w:val="20"/>
          <w:lang w:val="en-US"/>
        </w:rPr>
        <w:t xml:space="preserve"> To further reduce arcing, the transmission line was equipped with a powerful air drying system that blows the pre-cooled dry air into the critical area. With the help of a </w:t>
      </w:r>
      <w:r w:rsidR="00B66A72" w:rsidRPr="00B66A72">
        <w:rPr>
          <w:rFonts w:ascii="Times" w:hAnsi="Times" w:cs="Times"/>
          <w:sz w:val="20"/>
          <w:highlight w:val="yellow"/>
          <w:lang w:val="en-US"/>
        </w:rPr>
        <w:t xml:space="preserve">corner </w:t>
      </w:r>
      <w:r w:rsidR="00B66A72">
        <w:rPr>
          <w:rFonts w:ascii="Times" w:hAnsi="Times" w:cs="Times"/>
          <w:sz w:val="20"/>
          <w:lang w:val="en-US"/>
        </w:rPr>
        <w:t>reflector</w:t>
      </w:r>
      <w:r w:rsidRPr="00090BBF">
        <w:rPr>
          <w:rFonts w:ascii="Times" w:hAnsi="Times" w:cs="Times"/>
          <w:sz w:val="20"/>
          <w:lang w:val="en-US"/>
        </w:rPr>
        <w:t xml:space="preserve">, which was installed directly in front of the diamond </w:t>
      </w:r>
      <w:r w:rsidR="00EE0718">
        <w:rPr>
          <w:rFonts w:ascii="Times" w:hAnsi="Times" w:cs="Times"/>
          <w:sz w:val="20"/>
          <w:lang w:val="en-US"/>
        </w:rPr>
        <w:t xml:space="preserve">vacuum </w:t>
      </w:r>
      <w:r w:rsidRPr="00090BBF">
        <w:rPr>
          <w:rFonts w:ascii="Times" w:hAnsi="Times" w:cs="Times"/>
          <w:sz w:val="20"/>
          <w:lang w:val="en-US"/>
        </w:rPr>
        <w:t xml:space="preserve">window on the </w:t>
      </w:r>
      <w:r w:rsidRPr="00090BBF">
        <w:rPr>
          <w:rFonts w:ascii="Times" w:hAnsi="Times" w:cs="Times"/>
          <w:sz w:val="20"/>
          <w:lang w:val="en-US"/>
        </w:rPr>
        <w:t xml:space="preserve">plasma vessel, the complete transmission line could be tested with maximum power as shown in Fig. 3. The beam of the A gyrotron was transmitted to the retroreflector via the A </w:t>
      </w:r>
      <w:r w:rsidR="00991F82">
        <w:rPr>
          <w:rFonts w:ascii="Times" w:hAnsi="Times" w:cs="Times"/>
          <w:sz w:val="20"/>
          <w:lang w:val="en-US"/>
        </w:rPr>
        <w:t>beam</w:t>
      </w:r>
      <w:r w:rsidRPr="00090BBF">
        <w:rPr>
          <w:rFonts w:ascii="Times" w:hAnsi="Times" w:cs="Times"/>
          <w:sz w:val="20"/>
          <w:lang w:val="en-US"/>
        </w:rPr>
        <w:t xml:space="preserve"> line and then sent back to our long pulse microwave load via the F mirror line.  This situation simulates the transmission of 2 out of 3 beams to a launcher and the transmission of the</w:t>
      </w:r>
      <w:r w:rsidR="00EE0718">
        <w:rPr>
          <w:rFonts w:ascii="Times" w:hAnsi="Times" w:cs="Times"/>
          <w:sz w:val="20"/>
          <w:lang w:val="en-US"/>
        </w:rPr>
        <w:t xml:space="preserve"> maximum gyrotrons power of 900 k</w:t>
      </w:r>
      <w:r w:rsidRPr="00090BBF">
        <w:rPr>
          <w:rFonts w:ascii="Times" w:hAnsi="Times" w:cs="Times"/>
          <w:sz w:val="20"/>
          <w:lang w:val="en-US"/>
        </w:rPr>
        <w:t xml:space="preserve">W could be shown. Unfortunately, the transmission for higher powers can only be verified when such gyrotrons are available.  The arrangement also allows </w:t>
      </w:r>
      <w:r w:rsidR="005E7CA9">
        <w:rPr>
          <w:rFonts w:ascii="Times" w:hAnsi="Times" w:cs="Times"/>
          <w:sz w:val="20"/>
          <w:lang w:val="en-US"/>
        </w:rPr>
        <w:t>the</w:t>
      </w:r>
      <w:r w:rsidRPr="00090BBF">
        <w:rPr>
          <w:rFonts w:ascii="Times" w:hAnsi="Times" w:cs="Times"/>
          <w:sz w:val="20"/>
          <w:lang w:val="en-US"/>
        </w:rPr>
        <w:t xml:space="preserve"> exact determination of the transmission losses because the beam passes through the transmission path twice. This resulted in a transmission efficiency of about 94%, which corre</w:t>
      </w:r>
      <w:r w:rsidR="00991F82">
        <w:rPr>
          <w:rFonts w:ascii="Times" w:hAnsi="Times" w:cs="Times"/>
          <w:sz w:val="20"/>
          <w:lang w:val="en-US"/>
        </w:rPr>
        <w:t>sponds to the theoretical value and confirms previous measurements, where the retro-reflector was positioned at the end of the multi beam section [</w:t>
      </w:r>
      <w:r w:rsidR="00363690">
        <w:rPr>
          <w:rFonts w:ascii="Times" w:hAnsi="Times" w:cs="Times"/>
          <w:sz w:val="20"/>
          <w:lang w:val="en-US"/>
        </w:rPr>
        <w:t>5</w:t>
      </w:r>
      <w:r w:rsidR="00991F82">
        <w:rPr>
          <w:rFonts w:ascii="Times" w:hAnsi="Times" w:cs="Times"/>
          <w:sz w:val="20"/>
          <w:lang w:val="en-US"/>
        </w:rPr>
        <w:t>]</w:t>
      </w:r>
    </w:p>
    <w:p w14:paraId="425A5EA1" w14:textId="3D85F1B9" w:rsidR="00FC4606" w:rsidRPr="0038187F" w:rsidRDefault="0038187F" w:rsidP="0038187F">
      <w:pPr>
        <w:tabs>
          <w:tab w:val="left" w:pos="426"/>
        </w:tabs>
        <w:jc w:val="both"/>
        <w:rPr>
          <w:rFonts w:ascii="Times" w:hAnsi="Times" w:cs="Times"/>
          <w:sz w:val="20"/>
          <w:lang w:val="en-US"/>
        </w:rPr>
      </w:pPr>
      <w:r>
        <w:rPr>
          <w:noProof/>
          <w:lang w:val="en-US" w:eastAsia="en-US"/>
        </w:rPr>
        <w:drawing>
          <wp:inline distT="0" distB="0" distL="0" distR="0" wp14:anchorId="16D0BCA2" wp14:editId="11841A0C">
            <wp:extent cx="2831465" cy="1659890"/>
            <wp:effectExtent l="0" t="0" r="698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1465" cy="1659890"/>
                    </a:xfrm>
                    <a:prstGeom prst="rect">
                      <a:avLst/>
                    </a:prstGeom>
                  </pic:spPr>
                </pic:pic>
              </a:graphicData>
            </a:graphic>
          </wp:inline>
        </w:drawing>
      </w:r>
    </w:p>
    <w:p w14:paraId="26E9F899" w14:textId="0F098925" w:rsidR="00FC4606" w:rsidRPr="00FC4606" w:rsidRDefault="00FC4606" w:rsidP="00FC4606">
      <w:pPr>
        <w:tabs>
          <w:tab w:val="left" w:pos="426"/>
        </w:tabs>
        <w:jc w:val="both"/>
        <w:rPr>
          <w:rFonts w:ascii="Times" w:hAnsi="Times" w:cs="Times"/>
          <w:sz w:val="18"/>
          <w:szCs w:val="18"/>
          <w:lang w:val="en-US"/>
        </w:rPr>
      </w:pPr>
      <w:r w:rsidRPr="00FC4606">
        <w:rPr>
          <w:rFonts w:ascii="Times" w:hAnsi="Times" w:cs="Times"/>
          <w:b/>
          <w:sz w:val="18"/>
          <w:szCs w:val="18"/>
          <w:lang w:val="en-US"/>
        </w:rPr>
        <w:t>Fig.3</w:t>
      </w:r>
      <w:r>
        <w:rPr>
          <w:rFonts w:ascii="Times" w:hAnsi="Times" w:cs="Times"/>
          <w:b/>
          <w:sz w:val="18"/>
          <w:szCs w:val="18"/>
          <w:lang w:val="en-US"/>
        </w:rPr>
        <w:t>.</w:t>
      </w:r>
      <w:r w:rsidRPr="00FC4606">
        <w:rPr>
          <w:rFonts w:ascii="Times" w:hAnsi="Times" w:cs="Times"/>
          <w:sz w:val="18"/>
          <w:szCs w:val="18"/>
          <w:lang w:val="en-US"/>
        </w:rPr>
        <w:t xml:space="preserve"> Sketch of the full power tests over </w:t>
      </w:r>
      <w:r w:rsidRPr="00E5799E">
        <w:rPr>
          <w:rFonts w:ascii="Times" w:hAnsi="Times" w:cs="Times"/>
          <w:b/>
          <w:sz w:val="18"/>
          <w:szCs w:val="18"/>
          <w:lang w:val="en-US"/>
        </w:rPr>
        <w:t>twice the length</w:t>
      </w:r>
      <w:r w:rsidRPr="00FC4606">
        <w:rPr>
          <w:rFonts w:ascii="Times" w:hAnsi="Times" w:cs="Times"/>
          <w:sz w:val="18"/>
          <w:szCs w:val="18"/>
          <w:lang w:val="en-US"/>
        </w:rPr>
        <w:t xml:space="preserve"> of t</w:t>
      </w:r>
      <w:r w:rsidR="00991F82">
        <w:rPr>
          <w:rFonts w:ascii="Times" w:hAnsi="Times" w:cs="Times"/>
          <w:sz w:val="18"/>
          <w:szCs w:val="18"/>
          <w:lang w:val="en-US"/>
        </w:rPr>
        <w:t xml:space="preserve">he transmission line with the </w:t>
      </w:r>
      <w:r w:rsidR="00991F82" w:rsidRPr="00E5799E">
        <w:rPr>
          <w:rFonts w:ascii="Times" w:hAnsi="Times" w:cs="Times"/>
          <w:b/>
          <w:sz w:val="18"/>
          <w:szCs w:val="18"/>
          <w:lang w:val="en-US"/>
        </w:rPr>
        <w:t>A beam</w:t>
      </w:r>
      <w:r w:rsidR="00991F82">
        <w:rPr>
          <w:rFonts w:ascii="Times" w:hAnsi="Times" w:cs="Times"/>
          <w:sz w:val="18"/>
          <w:szCs w:val="18"/>
          <w:lang w:val="en-US"/>
        </w:rPr>
        <w:t xml:space="preserve"> to the retro-reflector and via the </w:t>
      </w:r>
      <w:r w:rsidR="00991F82" w:rsidRPr="00E5799E">
        <w:rPr>
          <w:rFonts w:ascii="Times" w:hAnsi="Times" w:cs="Times"/>
          <w:b/>
          <w:sz w:val="18"/>
          <w:szCs w:val="18"/>
          <w:lang w:val="en-US"/>
        </w:rPr>
        <w:t>F</w:t>
      </w:r>
      <w:r w:rsidRPr="00E5799E">
        <w:rPr>
          <w:rFonts w:ascii="Times" w:hAnsi="Times" w:cs="Times"/>
          <w:b/>
          <w:sz w:val="18"/>
          <w:szCs w:val="18"/>
          <w:lang w:val="en-US"/>
        </w:rPr>
        <w:t xml:space="preserve"> beam</w:t>
      </w:r>
      <w:r w:rsidR="00991F82">
        <w:rPr>
          <w:rFonts w:ascii="Times" w:hAnsi="Times" w:cs="Times"/>
          <w:sz w:val="18"/>
          <w:szCs w:val="18"/>
          <w:lang w:val="en-US"/>
        </w:rPr>
        <w:t xml:space="preserve"> line</w:t>
      </w:r>
      <w:r w:rsidRPr="00FC4606">
        <w:rPr>
          <w:rFonts w:ascii="Times" w:hAnsi="Times" w:cs="Times"/>
          <w:sz w:val="18"/>
          <w:szCs w:val="18"/>
          <w:lang w:val="en-US"/>
        </w:rPr>
        <w:t xml:space="preserve"> back to the microwave load. The relative humidity was set below 20% at 21°c.</w:t>
      </w:r>
    </w:p>
    <w:p w14:paraId="2E9EB3E3" w14:textId="77777777" w:rsidR="00B223A1" w:rsidRDefault="00B223A1" w:rsidP="00B223A1">
      <w:pPr>
        <w:tabs>
          <w:tab w:val="left" w:pos="426"/>
        </w:tabs>
        <w:spacing w:after="200" w:line="276" w:lineRule="auto"/>
        <w:jc w:val="both"/>
        <w:rPr>
          <w:rFonts w:ascii="Arial" w:hAnsi="Arial" w:cs="Arial"/>
          <w:b/>
          <w:bCs/>
          <w:iCs/>
          <w:sz w:val="20"/>
          <w:szCs w:val="28"/>
          <w:lang w:val="en-GB"/>
        </w:rPr>
      </w:pPr>
    </w:p>
    <w:p w14:paraId="2811ACA8" w14:textId="581EBF53" w:rsidR="00B223A1" w:rsidRPr="00A607AD" w:rsidRDefault="00B223A1" w:rsidP="00B223A1">
      <w:pPr>
        <w:tabs>
          <w:tab w:val="left" w:pos="426"/>
        </w:tabs>
        <w:spacing w:after="200" w:line="276" w:lineRule="auto"/>
        <w:jc w:val="both"/>
        <w:rPr>
          <w:rFonts w:ascii="Arial" w:hAnsi="Arial" w:cs="Arial"/>
          <w:b/>
          <w:sz w:val="20"/>
          <w:lang w:val="en-US"/>
        </w:rPr>
      </w:pPr>
      <w:r w:rsidRPr="00A607AD">
        <w:rPr>
          <w:rFonts w:ascii="Arial" w:hAnsi="Arial" w:cs="Arial"/>
          <w:b/>
          <w:sz w:val="20"/>
          <w:lang w:val="en-US"/>
        </w:rPr>
        <w:t>Control</w:t>
      </w:r>
    </w:p>
    <w:p w14:paraId="491962BA" w14:textId="5AF52980" w:rsidR="00B223A1" w:rsidRPr="00B223A1" w:rsidRDefault="00B223A1" w:rsidP="00B223A1">
      <w:pPr>
        <w:jc w:val="both"/>
        <w:rPr>
          <w:rFonts w:ascii="Times" w:hAnsi="Times" w:cs="Times"/>
          <w:sz w:val="20"/>
          <w:lang w:val="en-US"/>
        </w:rPr>
      </w:pPr>
      <w:r w:rsidRPr="00B223A1">
        <w:rPr>
          <w:rFonts w:ascii="Times" w:hAnsi="Times" w:cs="Times"/>
          <w:sz w:val="20"/>
          <w:lang w:val="en-US"/>
        </w:rPr>
        <w:t>The control system is the crucial component for a safe and reliable ECRH system. However, the requirements for safety and reliability can be contradictory.  In particular, the fast interlock system must react in sub-milliseconds in the event of an error and switch off the gyrotron. In long pulse or continuous wave mode, however, it is possible to analyse the error automatically and immediately and switch the gyrotron on again if possible. An example of this is the mode recovery system shown in Fig.</w:t>
      </w:r>
      <w:r w:rsidR="00EE0718">
        <w:rPr>
          <w:rFonts w:ascii="Times" w:hAnsi="Times" w:cs="Times"/>
          <w:sz w:val="20"/>
          <w:lang w:val="en-US"/>
        </w:rPr>
        <w:t xml:space="preserve"> </w:t>
      </w:r>
      <w:r w:rsidRPr="00B223A1">
        <w:rPr>
          <w:rFonts w:ascii="Times" w:hAnsi="Times" w:cs="Times"/>
          <w:sz w:val="20"/>
          <w:lang w:val="en-US"/>
        </w:rPr>
        <w:t>4, which detects a mode loss within 0.2 ms and lowers the acceleration voltage until th</w:t>
      </w:r>
      <w:r w:rsidR="00991F82">
        <w:rPr>
          <w:rFonts w:ascii="Times" w:hAnsi="Times" w:cs="Times"/>
          <w:sz w:val="20"/>
          <w:lang w:val="en-US"/>
        </w:rPr>
        <w:t>e operation mode settles again. T</w:t>
      </w:r>
      <w:r w:rsidRPr="00B223A1">
        <w:rPr>
          <w:rFonts w:ascii="Times" w:hAnsi="Times" w:cs="Times"/>
          <w:sz w:val="20"/>
          <w:lang w:val="en-US"/>
        </w:rPr>
        <w:t xml:space="preserve">hen the voltage is raised again to a value just below the </w:t>
      </w:r>
      <w:r w:rsidR="00991F82">
        <w:rPr>
          <w:rFonts w:ascii="Times" w:hAnsi="Times" w:cs="Times"/>
          <w:sz w:val="20"/>
          <w:lang w:val="en-US"/>
        </w:rPr>
        <w:t>original set-point</w:t>
      </w:r>
      <w:r w:rsidRPr="00B223A1">
        <w:rPr>
          <w:rFonts w:ascii="Times" w:hAnsi="Times" w:cs="Times"/>
          <w:sz w:val="20"/>
          <w:lang w:val="en-US"/>
        </w:rPr>
        <w:t xml:space="preserve">. From there, the voltage is ramped up to the </w:t>
      </w:r>
      <w:r w:rsidR="00991F82">
        <w:rPr>
          <w:rFonts w:ascii="Times" w:hAnsi="Times" w:cs="Times"/>
          <w:sz w:val="20"/>
          <w:lang w:val="en-US"/>
        </w:rPr>
        <w:t xml:space="preserve">nominal </w:t>
      </w:r>
      <w:r w:rsidRPr="00B223A1">
        <w:rPr>
          <w:rFonts w:ascii="Times" w:hAnsi="Times" w:cs="Times"/>
          <w:sz w:val="20"/>
          <w:lang w:val="en-US"/>
        </w:rPr>
        <w:t xml:space="preserve">value in a much slower ramp. In this way, the gyrotron </w:t>
      </w:r>
      <w:r w:rsidR="005E7CA9">
        <w:rPr>
          <w:rFonts w:ascii="Times" w:hAnsi="Times" w:cs="Times"/>
          <w:sz w:val="20"/>
          <w:lang w:val="en-US"/>
        </w:rPr>
        <w:t>samples</w:t>
      </w:r>
      <w:r w:rsidRPr="00B223A1">
        <w:rPr>
          <w:rFonts w:ascii="Times" w:hAnsi="Times" w:cs="Times"/>
          <w:sz w:val="20"/>
          <w:lang w:val="en-US"/>
        </w:rPr>
        <w:t xml:space="preserve"> its maximum power range</w:t>
      </w:r>
      <w:r w:rsidR="00F25951">
        <w:rPr>
          <w:rFonts w:ascii="Times" w:hAnsi="Times" w:cs="Times"/>
          <w:sz w:val="20"/>
          <w:lang w:val="en-US"/>
        </w:rPr>
        <w:t xml:space="preserve"> [</w:t>
      </w:r>
      <w:r w:rsidR="00363690">
        <w:rPr>
          <w:rFonts w:ascii="Times" w:hAnsi="Times" w:cs="Times"/>
          <w:sz w:val="20"/>
          <w:lang w:val="en-US"/>
        </w:rPr>
        <w:t>6</w:t>
      </w:r>
      <w:r w:rsidR="00F25951">
        <w:rPr>
          <w:rFonts w:ascii="Times" w:hAnsi="Times" w:cs="Times"/>
          <w:sz w:val="20"/>
          <w:lang w:val="en-US"/>
        </w:rPr>
        <w:t>]</w:t>
      </w:r>
      <w:r w:rsidRPr="00B223A1">
        <w:rPr>
          <w:rFonts w:ascii="Times" w:hAnsi="Times" w:cs="Times"/>
          <w:sz w:val="20"/>
          <w:lang w:val="en-US"/>
        </w:rPr>
        <w:t>.</w:t>
      </w:r>
    </w:p>
    <w:p w14:paraId="6DED4E29" w14:textId="67F05379" w:rsidR="00B223A1" w:rsidRDefault="00B223A1" w:rsidP="00B223A1">
      <w:pPr>
        <w:jc w:val="both"/>
        <w:rPr>
          <w:rFonts w:ascii="Times" w:hAnsi="Times" w:cs="Times"/>
          <w:sz w:val="20"/>
          <w:lang w:val="en-US"/>
        </w:rPr>
      </w:pPr>
      <w:r w:rsidRPr="00B223A1">
        <w:rPr>
          <w:rFonts w:ascii="Times" w:hAnsi="Times" w:cs="Times"/>
          <w:sz w:val="20"/>
          <w:lang w:val="en-US"/>
        </w:rPr>
        <w:t xml:space="preserve">After the operation phase OP1.2b, the interlocks that occurred were statically evaluated as shown in Fig. 5 and appropriate improvements were made. The main cause of gyrotron shutdowns was arcing in the transmission line. These should be reduced by the new air conditioning. In addition, the arc detection is currently being changed from light sensors to the much faster RF sensors. Faster detection should also allow faster restarting. Other issues are often problems with certain sensors, e.g. water flow monitoring, which often </w:t>
      </w:r>
      <w:r w:rsidRPr="00B223A1">
        <w:rPr>
          <w:rFonts w:ascii="Times" w:hAnsi="Times" w:cs="Times"/>
          <w:sz w:val="20"/>
          <w:lang w:val="en-US"/>
        </w:rPr>
        <w:lastRenderedPageBreak/>
        <w:t xml:space="preserve">cause false alarms. Here a systematic renewal is taking place. </w:t>
      </w:r>
    </w:p>
    <w:p w14:paraId="09BF3203" w14:textId="06EE4388" w:rsidR="0007205F" w:rsidRDefault="0007205F" w:rsidP="00B223A1">
      <w:pPr>
        <w:jc w:val="both"/>
        <w:rPr>
          <w:rFonts w:ascii="Times" w:hAnsi="Times" w:cs="Times"/>
          <w:sz w:val="20"/>
          <w:lang w:val="en-US"/>
        </w:rPr>
      </w:pPr>
    </w:p>
    <w:p w14:paraId="7DA172D9" w14:textId="77777777" w:rsidR="0007205F" w:rsidRPr="00B223A1" w:rsidRDefault="0007205F" w:rsidP="00B223A1">
      <w:pPr>
        <w:jc w:val="both"/>
        <w:rPr>
          <w:rFonts w:ascii="Times" w:hAnsi="Times" w:cs="Times"/>
          <w:sz w:val="20"/>
          <w:lang w:val="en-US"/>
        </w:rPr>
      </w:pPr>
    </w:p>
    <w:p w14:paraId="6BFCB602" w14:textId="7CA91A24" w:rsidR="00B223A1" w:rsidRDefault="0028050F" w:rsidP="00B223A1">
      <w:pPr>
        <w:jc w:val="both"/>
        <w:rPr>
          <w:i/>
          <w:noProof/>
          <w:lang w:val="en-US" w:eastAsia="en-US"/>
        </w:rPr>
      </w:pPr>
      <w:r>
        <w:rPr>
          <w:noProof/>
          <w:lang w:val="en-US" w:eastAsia="en-US"/>
        </w:rPr>
        <w:drawing>
          <wp:inline distT="0" distB="0" distL="0" distR="0" wp14:anchorId="7E5CD2EE" wp14:editId="62DFF72B">
            <wp:extent cx="2831465" cy="2075815"/>
            <wp:effectExtent l="0" t="0" r="698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465" cy="2075815"/>
                    </a:xfrm>
                    <a:prstGeom prst="rect">
                      <a:avLst/>
                    </a:prstGeom>
                  </pic:spPr>
                </pic:pic>
              </a:graphicData>
            </a:graphic>
          </wp:inline>
        </w:drawing>
      </w:r>
    </w:p>
    <w:p w14:paraId="58DF6D40" w14:textId="07D8B8F5" w:rsidR="00B223A1" w:rsidRDefault="00B223A1" w:rsidP="00B223A1">
      <w:pPr>
        <w:jc w:val="both"/>
        <w:rPr>
          <w:rFonts w:ascii="Times" w:hAnsi="Times" w:cs="Times"/>
          <w:noProof/>
          <w:sz w:val="18"/>
          <w:szCs w:val="18"/>
          <w:lang w:val="en-US" w:eastAsia="en-US"/>
        </w:rPr>
      </w:pPr>
      <w:r w:rsidRPr="0028050F">
        <w:rPr>
          <w:rFonts w:ascii="Times" w:hAnsi="Times" w:cs="Times"/>
          <w:b/>
          <w:noProof/>
          <w:sz w:val="18"/>
          <w:szCs w:val="18"/>
          <w:highlight w:val="yellow"/>
          <w:lang w:val="en-US" w:eastAsia="en-US"/>
        </w:rPr>
        <w:t>Fig. 4.</w:t>
      </w:r>
      <w:r w:rsidRPr="0028050F">
        <w:rPr>
          <w:rFonts w:ascii="Times" w:hAnsi="Times" w:cs="Times"/>
          <w:noProof/>
          <w:sz w:val="18"/>
          <w:szCs w:val="18"/>
          <w:highlight w:val="yellow"/>
          <w:lang w:val="en-US" w:eastAsia="en-US"/>
        </w:rPr>
        <w:t xml:space="preserve"> Operation diagram of the mode recovery system [2]. </w:t>
      </w:r>
      <w:r w:rsidR="0028050F" w:rsidRPr="0028050F">
        <w:rPr>
          <w:rFonts w:ascii="Times" w:hAnsi="Times" w:cs="Times"/>
          <w:noProof/>
          <w:sz w:val="18"/>
          <w:szCs w:val="18"/>
          <w:highlight w:val="yellow"/>
          <w:lang w:val="en-US" w:eastAsia="en-US"/>
        </w:rPr>
        <w:t xml:space="preserve">1) Mode loss </w:t>
      </w:r>
      <w:r w:rsidR="00991F82" w:rsidRPr="0028050F">
        <w:rPr>
          <w:rFonts w:ascii="Times" w:hAnsi="Times" w:cs="Times"/>
          <w:noProof/>
          <w:sz w:val="18"/>
          <w:szCs w:val="18"/>
          <w:highlight w:val="yellow"/>
          <w:lang w:val="en-US" w:eastAsia="en-US"/>
        </w:rPr>
        <w:t>2</w:t>
      </w:r>
      <w:r w:rsidRPr="0028050F">
        <w:rPr>
          <w:rFonts w:ascii="Times" w:hAnsi="Times" w:cs="Times"/>
          <w:noProof/>
          <w:sz w:val="18"/>
          <w:szCs w:val="18"/>
          <w:highlight w:val="yellow"/>
          <w:lang w:val="en-US" w:eastAsia="en-US"/>
        </w:rPr>
        <w:t>) Detection of the mode loss</w:t>
      </w:r>
      <w:r w:rsidR="0028050F" w:rsidRPr="0028050F">
        <w:rPr>
          <w:rFonts w:ascii="Times" w:hAnsi="Times" w:cs="Times"/>
          <w:noProof/>
          <w:sz w:val="18"/>
          <w:szCs w:val="18"/>
          <w:highlight w:val="yellow"/>
          <w:lang w:val="en-US" w:eastAsia="en-US"/>
        </w:rPr>
        <w:t xml:space="preserve"> and </w:t>
      </w:r>
      <w:r w:rsidRPr="0028050F">
        <w:rPr>
          <w:rFonts w:ascii="Times" w:hAnsi="Times" w:cs="Times"/>
          <w:noProof/>
          <w:sz w:val="18"/>
          <w:szCs w:val="18"/>
          <w:highlight w:val="yellow"/>
          <w:lang w:val="en-US" w:eastAsia="en-US"/>
        </w:rPr>
        <w:t xml:space="preserve"> rapid decrease of the a</w:t>
      </w:r>
      <w:r w:rsidR="0028050F" w:rsidRPr="0028050F">
        <w:rPr>
          <w:rFonts w:ascii="Times" w:hAnsi="Times" w:cs="Times"/>
          <w:noProof/>
          <w:sz w:val="18"/>
          <w:szCs w:val="18"/>
          <w:highlight w:val="yellow"/>
          <w:lang w:val="en-US" w:eastAsia="en-US"/>
        </w:rPr>
        <w:t>cceleration voltage by 10 kV. 3) R</w:t>
      </w:r>
      <w:r w:rsidRPr="0028050F">
        <w:rPr>
          <w:rFonts w:ascii="Times" w:hAnsi="Times" w:cs="Times"/>
          <w:noProof/>
          <w:sz w:val="18"/>
          <w:szCs w:val="18"/>
          <w:highlight w:val="yellow"/>
          <w:lang w:val="en-US" w:eastAsia="en-US"/>
        </w:rPr>
        <w:t>eestablishment of the gyrotron mode. 4) Rapid ramping up of the acceleration voltage to just below the nominal value.  5) Slow voltage ramp up to the nominal value.</w:t>
      </w:r>
    </w:p>
    <w:p w14:paraId="7C54D4FB" w14:textId="77777777" w:rsidR="00B223A1" w:rsidRPr="00B223A1" w:rsidRDefault="00B223A1" w:rsidP="00B223A1">
      <w:pPr>
        <w:jc w:val="both"/>
        <w:rPr>
          <w:rFonts w:ascii="Times" w:hAnsi="Times" w:cs="Times"/>
          <w:sz w:val="18"/>
          <w:szCs w:val="18"/>
          <w:lang w:val="en-US"/>
        </w:rPr>
      </w:pPr>
    </w:p>
    <w:p w14:paraId="25DD3A02" w14:textId="480B8F1C" w:rsidR="00B223A1" w:rsidRPr="00B223A1" w:rsidRDefault="00B223A1" w:rsidP="00B223A1">
      <w:pPr>
        <w:jc w:val="both"/>
        <w:rPr>
          <w:rFonts w:ascii="Times" w:hAnsi="Times" w:cs="Times"/>
          <w:sz w:val="20"/>
          <w:lang w:val="en-US"/>
        </w:rPr>
      </w:pPr>
      <w:r w:rsidRPr="00B223A1">
        <w:rPr>
          <w:rFonts w:ascii="Times" w:hAnsi="Times" w:cs="Times"/>
          <w:sz w:val="20"/>
          <w:lang w:val="en-US"/>
        </w:rPr>
        <w:t>Another future-oriented development is the external frequency stabilisation of the gyrotrons</w:t>
      </w:r>
      <w:r w:rsidR="00363690">
        <w:rPr>
          <w:rFonts w:ascii="Times" w:hAnsi="Times" w:cs="Times"/>
          <w:sz w:val="20"/>
          <w:lang w:val="en-US"/>
        </w:rPr>
        <w:t xml:space="preserve"> [7]</w:t>
      </w:r>
      <w:r w:rsidRPr="00B223A1">
        <w:rPr>
          <w:rFonts w:ascii="Times" w:hAnsi="Times" w:cs="Times"/>
          <w:sz w:val="20"/>
          <w:lang w:val="en-US"/>
        </w:rPr>
        <w:t xml:space="preserve">. With the help of a phase lock loop (PLL), the frequency </w:t>
      </w:r>
      <w:r w:rsidR="00EE0718">
        <w:rPr>
          <w:rFonts w:ascii="Times" w:hAnsi="Times" w:cs="Times"/>
          <w:sz w:val="20"/>
          <w:lang w:val="en-US"/>
        </w:rPr>
        <w:t xml:space="preserve">of the diode-type gyrotrons </w:t>
      </w:r>
      <w:r w:rsidRPr="00B223A1">
        <w:rPr>
          <w:rFonts w:ascii="Times" w:hAnsi="Times" w:cs="Times"/>
          <w:sz w:val="20"/>
          <w:lang w:val="en-US"/>
        </w:rPr>
        <w:t xml:space="preserve">is controlled with </w:t>
      </w:r>
      <w:r w:rsidR="00991F82">
        <w:rPr>
          <w:rFonts w:ascii="Times" w:hAnsi="Times" w:cs="Times"/>
          <w:sz w:val="20"/>
          <w:lang w:val="en-US"/>
        </w:rPr>
        <w:t xml:space="preserve">the </w:t>
      </w:r>
      <w:r w:rsidRPr="00B223A1">
        <w:rPr>
          <w:rFonts w:ascii="Times" w:hAnsi="Times" w:cs="Times"/>
          <w:sz w:val="20"/>
          <w:lang w:val="en-US"/>
        </w:rPr>
        <w:t>acceleration voltage</w:t>
      </w:r>
      <w:r w:rsidR="000305E0">
        <w:rPr>
          <w:rFonts w:ascii="Times" w:hAnsi="Times" w:cs="Times"/>
          <w:sz w:val="20"/>
          <w:lang w:val="en-US"/>
        </w:rPr>
        <w:t xml:space="preserve"> </w:t>
      </w:r>
      <w:r w:rsidR="000305E0" w:rsidRPr="000305E0">
        <w:rPr>
          <w:rFonts w:ascii="Times" w:hAnsi="Times" w:cs="Times"/>
          <w:sz w:val="20"/>
          <w:highlight w:val="yellow"/>
          <w:lang w:val="en-US"/>
        </w:rPr>
        <w:t>as shown in Fig.6</w:t>
      </w:r>
      <w:r w:rsidRPr="00B223A1">
        <w:rPr>
          <w:rFonts w:ascii="Times" w:hAnsi="Times" w:cs="Times"/>
          <w:sz w:val="20"/>
          <w:lang w:val="en-US"/>
        </w:rPr>
        <w:t>. This enables highly precise scattering experiments with CTS diagnostics</w:t>
      </w:r>
      <w:r w:rsidR="00F36CE8">
        <w:rPr>
          <w:rFonts w:ascii="Times" w:hAnsi="Times" w:cs="Times"/>
          <w:sz w:val="20"/>
          <w:lang w:val="en-US"/>
        </w:rPr>
        <w:t xml:space="preserve"> </w:t>
      </w:r>
      <w:r w:rsidRPr="00B223A1">
        <w:rPr>
          <w:rFonts w:ascii="Times" w:hAnsi="Times" w:cs="Times"/>
          <w:sz w:val="20"/>
          <w:lang w:val="en-US"/>
        </w:rPr>
        <w:t xml:space="preserve">. However, if it were also possible to lock the gyrotron in phase, completely new possibilities would open up for ECRH operation. All the gyrotrons would then emit coherently and it would be possible to merge many </w:t>
      </w:r>
      <w:r w:rsidR="00EE0718">
        <w:rPr>
          <w:rFonts w:ascii="Times" w:hAnsi="Times" w:cs="Times"/>
          <w:sz w:val="20"/>
          <w:lang w:val="en-US"/>
        </w:rPr>
        <w:t xml:space="preserve">microwave </w:t>
      </w:r>
      <w:r w:rsidRPr="00B223A1">
        <w:rPr>
          <w:rFonts w:ascii="Times" w:hAnsi="Times" w:cs="Times"/>
          <w:sz w:val="20"/>
          <w:lang w:val="en-US"/>
        </w:rPr>
        <w:t>beams into one. It would also be possible to switch the direction of the sum beam with the phase of the individual beams</w:t>
      </w:r>
      <w:r w:rsidR="009237D9">
        <w:rPr>
          <w:rFonts w:ascii="Times" w:hAnsi="Times" w:cs="Times"/>
          <w:sz w:val="20"/>
          <w:lang w:val="en-US"/>
        </w:rPr>
        <w:t xml:space="preserve"> </w:t>
      </w:r>
      <w:r w:rsidR="009237D9" w:rsidRPr="009237D9">
        <w:rPr>
          <w:rFonts w:ascii="Times" w:hAnsi="Times" w:cs="Times"/>
          <w:sz w:val="20"/>
          <w:highlight w:val="yellow"/>
          <w:lang w:val="en-US"/>
        </w:rPr>
        <w:t>[8]</w:t>
      </w:r>
      <w:r w:rsidRPr="009237D9">
        <w:rPr>
          <w:rFonts w:ascii="Times" w:hAnsi="Times" w:cs="Times"/>
          <w:sz w:val="20"/>
          <w:highlight w:val="yellow"/>
          <w:lang w:val="en-US"/>
        </w:rPr>
        <w:t>.</w:t>
      </w:r>
    </w:p>
    <w:p w14:paraId="37E0044C" w14:textId="4C8CD805" w:rsidR="00B223A1" w:rsidRPr="00B223A1" w:rsidRDefault="00B223A1" w:rsidP="00B223A1">
      <w:pPr>
        <w:pStyle w:val="Subsection"/>
        <w:numPr>
          <w:ilvl w:val="0"/>
          <w:numId w:val="0"/>
        </w:numPr>
        <w:rPr>
          <w:rFonts w:ascii="Times" w:hAnsi="Times" w:cs="Times"/>
          <w:szCs w:val="20"/>
        </w:rPr>
      </w:pPr>
      <w:r w:rsidRPr="00B223A1">
        <w:rPr>
          <w:rFonts w:ascii="Times" w:hAnsi="Times" w:cs="Times"/>
          <w:noProof/>
          <w:szCs w:val="20"/>
          <w:lang w:val="en-US" w:eastAsia="en-US"/>
        </w:rPr>
        <w:drawing>
          <wp:inline distT="0" distB="0" distL="0" distR="0" wp14:anchorId="0FFADC2C" wp14:editId="70F798FE">
            <wp:extent cx="2954227" cy="14280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719" cy="1446687"/>
                    </a:xfrm>
                    <a:prstGeom prst="rect">
                      <a:avLst/>
                    </a:prstGeom>
                    <a:noFill/>
                    <a:ln>
                      <a:noFill/>
                    </a:ln>
                  </pic:spPr>
                </pic:pic>
              </a:graphicData>
            </a:graphic>
          </wp:inline>
        </w:drawing>
      </w:r>
    </w:p>
    <w:p w14:paraId="68AA3C00" w14:textId="0A032F82" w:rsidR="00B223A1" w:rsidRDefault="00B223A1" w:rsidP="00B223A1">
      <w:pPr>
        <w:jc w:val="both"/>
        <w:rPr>
          <w:rFonts w:ascii="Times" w:hAnsi="Times" w:cs="Times"/>
          <w:sz w:val="18"/>
          <w:szCs w:val="18"/>
          <w:lang w:val="en-US"/>
        </w:rPr>
      </w:pPr>
      <w:r w:rsidRPr="009069DB">
        <w:rPr>
          <w:rFonts w:ascii="Times" w:hAnsi="Times" w:cs="Times"/>
          <w:b/>
          <w:sz w:val="18"/>
          <w:szCs w:val="18"/>
          <w:lang w:val="en-US"/>
        </w:rPr>
        <w:t>Fig. 5</w:t>
      </w:r>
      <w:r w:rsidR="009069DB">
        <w:rPr>
          <w:rFonts w:ascii="Times" w:hAnsi="Times" w:cs="Times"/>
          <w:b/>
          <w:sz w:val="18"/>
          <w:szCs w:val="18"/>
          <w:lang w:val="en-US"/>
        </w:rPr>
        <w:t>.</w:t>
      </w:r>
      <w:r w:rsidRPr="009069DB">
        <w:rPr>
          <w:rFonts w:ascii="Times" w:hAnsi="Times" w:cs="Times"/>
          <w:sz w:val="18"/>
          <w:szCs w:val="18"/>
          <w:lang w:val="en-US"/>
        </w:rPr>
        <w:t xml:space="preserve"> List the interlocks of the individual gyrotrons that occurred in operation phase 1.2b and their causes.</w:t>
      </w:r>
    </w:p>
    <w:p w14:paraId="374234AA" w14:textId="01EB3E92" w:rsidR="0007205F" w:rsidRDefault="0007205F" w:rsidP="00B223A1">
      <w:pPr>
        <w:jc w:val="both"/>
        <w:rPr>
          <w:rFonts w:ascii="Times" w:hAnsi="Times" w:cs="Times"/>
          <w:sz w:val="18"/>
          <w:szCs w:val="18"/>
          <w:lang w:val="en-US"/>
        </w:rPr>
      </w:pPr>
    </w:p>
    <w:p w14:paraId="38CC0E3A" w14:textId="77777777" w:rsidR="0007205F" w:rsidRPr="009069DB" w:rsidRDefault="0007205F" w:rsidP="00B223A1">
      <w:pPr>
        <w:jc w:val="both"/>
        <w:rPr>
          <w:rFonts w:ascii="Times" w:eastAsia="MS Mincho;ＭＳ 明朝" w:hAnsi="Times" w:cs="Times"/>
          <w:noProof/>
          <w:sz w:val="18"/>
          <w:szCs w:val="18"/>
          <w:lang w:val="en-US" w:eastAsia="en-US"/>
        </w:rPr>
      </w:pPr>
    </w:p>
    <w:p w14:paraId="0F881463" w14:textId="2FFD59D9" w:rsidR="0007205F" w:rsidRDefault="0007205F" w:rsidP="000305E0">
      <w:pPr>
        <w:pStyle w:val="StandardWeb"/>
        <w:rPr>
          <w:noProof/>
          <w:lang w:val="en-US"/>
        </w:rPr>
      </w:pPr>
      <w:r>
        <w:rPr>
          <w:noProof/>
          <w:lang w:val="en-US"/>
        </w:rPr>
        <w:drawing>
          <wp:inline distT="0" distB="0" distL="0" distR="0" wp14:anchorId="189ED178" wp14:editId="7537E8AB">
            <wp:extent cx="2946400" cy="149447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1636" cy="1497132"/>
                    </a:xfrm>
                    <a:prstGeom prst="rect">
                      <a:avLst/>
                    </a:prstGeom>
                  </pic:spPr>
                </pic:pic>
              </a:graphicData>
            </a:graphic>
          </wp:inline>
        </w:drawing>
      </w:r>
      <w:r w:rsidR="00B94474" w:rsidRPr="00B94474">
        <w:rPr>
          <w:rStyle w:val="berschrift2Zchn"/>
          <w:rFonts w:eastAsia="MS Mincho"/>
        </w:rPr>
        <w:t xml:space="preserve"> </w:t>
      </w:r>
    </w:p>
    <w:p w14:paraId="21748B20" w14:textId="49BAC9F8" w:rsidR="0007205F" w:rsidRDefault="0007205F" w:rsidP="0007205F">
      <w:pPr>
        <w:jc w:val="both"/>
        <w:rPr>
          <w:rFonts w:ascii="Times" w:hAnsi="Times" w:cs="Times"/>
          <w:sz w:val="18"/>
          <w:szCs w:val="18"/>
          <w:lang w:val="en-US"/>
        </w:rPr>
      </w:pPr>
      <w:r w:rsidRPr="009069DB">
        <w:rPr>
          <w:rFonts w:ascii="Times" w:hAnsi="Times" w:cs="Times"/>
          <w:b/>
          <w:sz w:val="18"/>
          <w:szCs w:val="18"/>
          <w:lang w:val="en-US"/>
        </w:rPr>
        <w:t xml:space="preserve">Fig. </w:t>
      </w:r>
      <w:r>
        <w:rPr>
          <w:rFonts w:ascii="Times" w:hAnsi="Times" w:cs="Times"/>
          <w:b/>
          <w:sz w:val="18"/>
          <w:szCs w:val="18"/>
          <w:lang w:val="en-US"/>
        </w:rPr>
        <w:t>6.</w:t>
      </w:r>
      <w:r w:rsidRPr="009069DB">
        <w:rPr>
          <w:rFonts w:ascii="Times" w:hAnsi="Times" w:cs="Times"/>
          <w:sz w:val="18"/>
          <w:szCs w:val="18"/>
          <w:lang w:val="en-US"/>
        </w:rPr>
        <w:t xml:space="preserve"> </w:t>
      </w:r>
      <w:r>
        <w:rPr>
          <w:rFonts w:ascii="Times" w:hAnsi="Times" w:cs="Times"/>
          <w:sz w:val="18"/>
          <w:szCs w:val="18"/>
          <w:lang w:val="en-US"/>
        </w:rPr>
        <w:t>Frequen</w:t>
      </w:r>
      <w:r w:rsidR="00D13235">
        <w:rPr>
          <w:rFonts w:ascii="Times" w:hAnsi="Times" w:cs="Times"/>
          <w:sz w:val="18"/>
          <w:szCs w:val="18"/>
          <w:lang w:val="en-US"/>
        </w:rPr>
        <w:t>cy</w:t>
      </w:r>
      <w:r>
        <w:rPr>
          <w:rFonts w:ascii="Times" w:hAnsi="Times" w:cs="Times"/>
          <w:sz w:val="18"/>
          <w:szCs w:val="18"/>
          <w:lang w:val="en-US"/>
        </w:rPr>
        <w:t xml:space="preserve"> as a function of time of a free running gyrotron in bl</w:t>
      </w:r>
      <w:r w:rsidR="00D13235">
        <w:rPr>
          <w:rFonts w:ascii="Times" w:hAnsi="Times" w:cs="Times"/>
          <w:sz w:val="18"/>
          <w:szCs w:val="18"/>
          <w:lang w:val="en-US"/>
        </w:rPr>
        <w:t>ue</w:t>
      </w:r>
      <w:r>
        <w:rPr>
          <w:rFonts w:ascii="Times" w:hAnsi="Times" w:cs="Times"/>
          <w:sz w:val="18"/>
          <w:szCs w:val="18"/>
          <w:lang w:val="en-US"/>
        </w:rPr>
        <w:t xml:space="preserve"> and a frequency stabilized gyrotron in orange</w:t>
      </w:r>
      <w:r w:rsidRPr="009069DB">
        <w:rPr>
          <w:rFonts w:ascii="Times" w:hAnsi="Times" w:cs="Times"/>
          <w:sz w:val="18"/>
          <w:szCs w:val="18"/>
          <w:lang w:val="en-US"/>
        </w:rPr>
        <w:t>.</w:t>
      </w:r>
    </w:p>
    <w:p w14:paraId="3CAB5942" w14:textId="559D15E3" w:rsidR="009069DB" w:rsidRDefault="009069DB" w:rsidP="00B223A1">
      <w:pPr>
        <w:tabs>
          <w:tab w:val="left" w:pos="426"/>
        </w:tabs>
        <w:spacing w:after="200"/>
        <w:jc w:val="both"/>
        <w:rPr>
          <w:rFonts w:ascii="Arial" w:hAnsi="Arial" w:cs="Arial"/>
          <w:b/>
          <w:sz w:val="20"/>
          <w:lang w:val="en-US"/>
        </w:rPr>
      </w:pPr>
    </w:p>
    <w:p w14:paraId="59D4A380" w14:textId="186D8FF9" w:rsidR="00B223A1" w:rsidRPr="00B223A1" w:rsidRDefault="00B223A1" w:rsidP="00B223A1">
      <w:pPr>
        <w:tabs>
          <w:tab w:val="left" w:pos="426"/>
        </w:tabs>
        <w:spacing w:after="200"/>
        <w:jc w:val="both"/>
        <w:rPr>
          <w:rFonts w:ascii="Arial" w:hAnsi="Arial" w:cs="Arial"/>
          <w:b/>
          <w:sz w:val="20"/>
          <w:lang w:val="en-US"/>
        </w:rPr>
      </w:pPr>
      <w:r w:rsidRPr="00B223A1">
        <w:rPr>
          <w:rFonts w:ascii="Arial" w:hAnsi="Arial" w:cs="Arial"/>
          <w:b/>
          <w:sz w:val="20"/>
          <w:lang w:val="en-US"/>
        </w:rPr>
        <w:t>Summary and conclusions</w:t>
      </w:r>
    </w:p>
    <w:p w14:paraId="7C1C000F" w14:textId="5748E3F2" w:rsidR="00B223A1" w:rsidRDefault="00B223A1" w:rsidP="00B223A1">
      <w:pPr>
        <w:tabs>
          <w:tab w:val="left" w:pos="-2694"/>
        </w:tabs>
        <w:jc w:val="both"/>
        <w:rPr>
          <w:rFonts w:ascii="Times" w:hAnsi="Times" w:cs="Times"/>
          <w:sz w:val="20"/>
          <w:lang w:val="en-US"/>
        </w:rPr>
      </w:pPr>
      <w:r w:rsidRPr="00B223A1">
        <w:rPr>
          <w:rFonts w:ascii="Times" w:hAnsi="Times" w:cs="Times"/>
          <w:sz w:val="20"/>
          <w:lang w:val="en-US"/>
        </w:rPr>
        <w:t>The strategy for the expansion of the ECRH</w:t>
      </w:r>
      <w:r w:rsidR="00EE0718">
        <w:rPr>
          <w:rFonts w:ascii="Times" w:hAnsi="Times" w:cs="Times"/>
          <w:sz w:val="20"/>
          <w:lang w:val="en-US"/>
        </w:rPr>
        <w:t xml:space="preserve"> system</w:t>
      </w:r>
      <w:r w:rsidRPr="00B223A1">
        <w:rPr>
          <w:rFonts w:ascii="Times" w:hAnsi="Times" w:cs="Times"/>
          <w:sz w:val="20"/>
          <w:lang w:val="en-US"/>
        </w:rPr>
        <w:t xml:space="preserve"> at W7-X </w:t>
      </w:r>
      <w:r w:rsidR="00EE0718">
        <w:rPr>
          <w:rFonts w:ascii="Times" w:hAnsi="Times" w:cs="Times"/>
          <w:sz w:val="20"/>
          <w:lang w:val="en-US"/>
        </w:rPr>
        <w:t>has been</w:t>
      </w:r>
      <w:r w:rsidRPr="00B223A1">
        <w:rPr>
          <w:rFonts w:ascii="Times" w:hAnsi="Times" w:cs="Times"/>
          <w:sz w:val="20"/>
          <w:lang w:val="en-US"/>
        </w:rPr>
        <w:t xml:space="preserve"> presented, based on the experience gained in the construction and operation of the existing ECRH facility. The gyrotron development will be carried out in a four-step process, which guarantees a permanent improvement of the </w:t>
      </w:r>
      <w:r w:rsidR="00EE0718">
        <w:rPr>
          <w:rFonts w:ascii="Times" w:hAnsi="Times" w:cs="Times"/>
          <w:sz w:val="20"/>
          <w:lang w:val="en-US"/>
        </w:rPr>
        <w:t>tubes</w:t>
      </w:r>
      <w:r w:rsidRPr="00B223A1">
        <w:rPr>
          <w:rFonts w:ascii="Times" w:hAnsi="Times" w:cs="Times"/>
          <w:sz w:val="20"/>
          <w:lang w:val="en-US"/>
        </w:rPr>
        <w:t>.  In addition, the entire ECRH facility will be optimised to meet the higher requirements</w:t>
      </w:r>
      <w:r w:rsidR="00F31A5C">
        <w:rPr>
          <w:rFonts w:ascii="Times" w:hAnsi="Times" w:cs="Times"/>
          <w:sz w:val="20"/>
          <w:lang w:val="en-US"/>
        </w:rPr>
        <w:t xml:space="preserve"> </w:t>
      </w:r>
      <w:r w:rsidR="00F31A5C" w:rsidRPr="00F31A5C">
        <w:rPr>
          <w:rFonts w:ascii="Times" w:hAnsi="Times" w:cs="Times"/>
          <w:sz w:val="20"/>
          <w:highlight w:val="yellow"/>
          <w:lang w:val="en-US"/>
        </w:rPr>
        <w:t>for power generation and transmission</w:t>
      </w:r>
      <w:r w:rsidRPr="00F31A5C">
        <w:rPr>
          <w:rFonts w:ascii="Times" w:hAnsi="Times" w:cs="Times"/>
          <w:sz w:val="20"/>
          <w:highlight w:val="yellow"/>
          <w:lang w:val="en-US"/>
        </w:rPr>
        <w:t>.</w:t>
      </w:r>
      <w:r w:rsidRPr="00B223A1">
        <w:rPr>
          <w:rFonts w:ascii="Times" w:hAnsi="Times" w:cs="Times"/>
          <w:sz w:val="20"/>
          <w:lang w:val="en-US"/>
        </w:rPr>
        <w:t xml:space="preserve"> This means that in </w:t>
      </w:r>
      <w:r w:rsidR="005E7CA9">
        <w:rPr>
          <w:rFonts w:ascii="Times" w:hAnsi="Times" w:cs="Times"/>
          <w:sz w:val="20"/>
          <w:lang w:val="en-US"/>
        </w:rPr>
        <w:t>~</w:t>
      </w:r>
      <w:r w:rsidRPr="00B223A1">
        <w:rPr>
          <w:rFonts w:ascii="Times" w:hAnsi="Times" w:cs="Times"/>
          <w:sz w:val="20"/>
          <w:lang w:val="en-US"/>
        </w:rPr>
        <w:t xml:space="preserve">2030, 12 fully equipped </w:t>
      </w:r>
      <w:r w:rsidR="00EE0718">
        <w:rPr>
          <w:rFonts w:ascii="Times" w:hAnsi="Times" w:cs="Times"/>
          <w:sz w:val="20"/>
          <w:lang w:val="en-US"/>
        </w:rPr>
        <w:t xml:space="preserve">microwave </w:t>
      </w:r>
      <w:r w:rsidRPr="00B223A1">
        <w:rPr>
          <w:rFonts w:ascii="Times" w:hAnsi="Times" w:cs="Times"/>
          <w:sz w:val="20"/>
          <w:lang w:val="en-US"/>
        </w:rPr>
        <w:t>beam lines with a high level of reliability and a total output of around 18 MW</w:t>
      </w:r>
      <w:r w:rsidR="00DF087D">
        <w:rPr>
          <w:rFonts w:ascii="Times" w:hAnsi="Times" w:cs="Times"/>
          <w:sz w:val="20"/>
          <w:lang w:val="en-US"/>
        </w:rPr>
        <w:t xml:space="preserve"> </w:t>
      </w:r>
      <w:r w:rsidR="00DF087D" w:rsidRPr="00DF087D">
        <w:rPr>
          <w:rFonts w:ascii="Times" w:hAnsi="Times" w:cs="Times"/>
          <w:sz w:val="20"/>
          <w:highlight w:val="yellow"/>
          <w:lang w:val="en-US"/>
        </w:rPr>
        <w:t>(4x1MW+4x1.5MW+ 4x2MW)</w:t>
      </w:r>
      <w:bookmarkStart w:id="0" w:name="_GoBack"/>
      <w:bookmarkEnd w:id="0"/>
      <w:r w:rsidRPr="00B223A1">
        <w:rPr>
          <w:rFonts w:ascii="Times" w:hAnsi="Times" w:cs="Times"/>
          <w:sz w:val="20"/>
          <w:lang w:val="en-US"/>
        </w:rPr>
        <w:t xml:space="preserve"> are </w:t>
      </w:r>
      <w:r w:rsidR="005E7CA9">
        <w:rPr>
          <w:rFonts w:ascii="Times" w:hAnsi="Times" w:cs="Times"/>
          <w:sz w:val="20"/>
          <w:lang w:val="en-US"/>
        </w:rPr>
        <w:t>foreseen</w:t>
      </w:r>
      <w:r w:rsidRPr="00B223A1">
        <w:rPr>
          <w:rFonts w:ascii="Times" w:hAnsi="Times" w:cs="Times"/>
          <w:sz w:val="20"/>
          <w:lang w:val="en-US"/>
        </w:rPr>
        <w:t>.</w:t>
      </w:r>
    </w:p>
    <w:p w14:paraId="2C2BE389" w14:textId="427480FC" w:rsidR="0007205F" w:rsidRDefault="0007205F" w:rsidP="00B223A1">
      <w:pPr>
        <w:tabs>
          <w:tab w:val="left" w:pos="-2694"/>
        </w:tabs>
        <w:jc w:val="both"/>
        <w:rPr>
          <w:rFonts w:ascii="Times" w:hAnsi="Times" w:cs="Times"/>
          <w:sz w:val="20"/>
          <w:lang w:val="en-US"/>
        </w:rPr>
      </w:pPr>
    </w:p>
    <w:p w14:paraId="25125E29" w14:textId="77777777" w:rsidR="00B223A1" w:rsidRDefault="00B223A1" w:rsidP="00B223A1">
      <w:pPr>
        <w:tabs>
          <w:tab w:val="left" w:pos="-2694"/>
        </w:tabs>
        <w:jc w:val="both"/>
        <w:rPr>
          <w:rFonts w:ascii="Times" w:hAnsi="Times" w:cs="Times"/>
          <w:sz w:val="20"/>
          <w:lang w:val="en-US"/>
        </w:rPr>
      </w:pPr>
    </w:p>
    <w:p w14:paraId="20F564C7" w14:textId="0A850E67" w:rsidR="00B223A1" w:rsidRDefault="00B223A1" w:rsidP="00B223A1">
      <w:pPr>
        <w:tabs>
          <w:tab w:val="left" w:pos="-2694"/>
        </w:tabs>
        <w:rPr>
          <w:rFonts w:ascii="Arial" w:hAnsi="Arial" w:cs="Arial"/>
          <w:b/>
          <w:sz w:val="20"/>
          <w:lang w:val="en-US"/>
        </w:rPr>
      </w:pPr>
      <w:r w:rsidRPr="00B223A1">
        <w:rPr>
          <w:rFonts w:ascii="Arial" w:hAnsi="Arial" w:cs="Arial"/>
          <w:b/>
          <w:sz w:val="20"/>
          <w:lang w:val="en-US"/>
        </w:rPr>
        <w:t>References</w:t>
      </w:r>
    </w:p>
    <w:p w14:paraId="2D864A81" w14:textId="77777777" w:rsidR="007533D4" w:rsidRDefault="007533D4" w:rsidP="00B223A1">
      <w:pPr>
        <w:tabs>
          <w:tab w:val="left" w:pos="-2694"/>
        </w:tabs>
        <w:rPr>
          <w:rFonts w:ascii="Arial" w:hAnsi="Arial" w:cs="Arial"/>
          <w:b/>
          <w:sz w:val="20"/>
          <w:lang w:val="en-US"/>
        </w:rPr>
      </w:pPr>
    </w:p>
    <w:p w14:paraId="4AD10715" w14:textId="735F991A" w:rsidR="00F25951" w:rsidRPr="00363690" w:rsidRDefault="00F25951" w:rsidP="00F25951">
      <w:pPr>
        <w:pStyle w:val="Referencelist"/>
        <w:ind w:left="284" w:hanging="284"/>
        <w:rPr>
          <w:rFonts w:ascii="Times" w:hAnsi="Times" w:cs="Times"/>
          <w:color w:val="000000" w:themeColor="text1"/>
          <w:sz w:val="20"/>
          <w:szCs w:val="20"/>
        </w:rPr>
      </w:pPr>
      <w:r w:rsidRPr="00363690">
        <w:rPr>
          <w:rFonts w:ascii="Times" w:hAnsi="Times" w:cs="Times"/>
          <w:color w:val="000000" w:themeColor="text1"/>
          <w:sz w:val="20"/>
          <w:szCs w:val="20"/>
        </w:rPr>
        <w:t>Erckmann et. al. Fusion Science &amp; Technology, Volume 52,  Number 2, August 2007, Pages 291-312</w:t>
      </w:r>
    </w:p>
    <w:p w14:paraId="3C4FE75B" w14:textId="7F8A4AF4" w:rsidR="00363690" w:rsidRPr="00363690" w:rsidRDefault="00363690" w:rsidP="00363690">
      <w:pPr>
        <w:pStyle w:val="Referencelist"/>
        <w:ind w:left="284" w:hanging="284"/>
        <w:rPr>
          <w:rFonts w:ascii="Times" w:hAnsi="Times" w:cs="Times"/>
          <w:color w:val="000000" w:themeColor="text1"/>
          <w:sz w:val="20"/>
          <w:szCs w:val="20"/>
        </w:rPr>
      </w:pPr>
      <w:r w:rsidRPr="00363690">
        <w:rPr>
          <w:rFonts w:ascii="Times" w:eastAsia="MS Mincho" w:hAnsi="Times" w:cs="Times"/>
          <w:sz w:val="20"/>
          <w:szCs w:val="20"/>
          <w:lang w:val="en-US"/>
        </w:rPr>
        <w:t>Beidler, C.D., Smith, H.M., Alonso, A. et al., Nature 596, 221-226 (2021)</w:t>
      </w:r>
    </w:p>
    <w:p w14:paraId="495841CF" w14:textId="01060716" w:rsidR="00B223A1" w:rsidRPr="00363690" w:rsidRDefault="00363690" w:rsidP="00363690">
      <w:pPr>
        <w:pStyle w:val="Referencelist"/>
        <w:ind w:left="284" w:hanging="284"/>
        <w:rPr>
          <w:rFonts w:ascii="Times" w:hAnsi="Times" w:cs="Times"/>
          <w:color w:val="000000" w:themeColor="text1"/>
          <w:sz w:val="20"/>
          <w:szCs w:val="20"/>
        </w:rPr>
      </w:pPr>
      <w:r w:rsidRPr="00363690">
        <w:rPr>
          <w:rFonts w:ascii="Times" w:hAnsi="Times" w:cs="Times"/>
          <w:sz w:val="20"/>
          <w:szCs w:val="20"/>
        </w:rPr>
        <w:t xml:space="preserve">T. Sunn Pedersen </w:t>
      </w:r>
      <w:r w:rsidRPr="00363690">
        <w:rPr>
          <w:rStyle w:val="Hervorhebung"/>
          <w:rFonts w:ascii="Times" w:hAnsi="Times" w:cs="Times"/>
          <w:sz w:val="20"/>
          <w:szCs w:val="20"/>
        </w:rPr>
        <w:t>et al.</w:t>
      </w:r>
      <w:r w:rsidRPr="00363690">
        <w:rPr>
          <w:rFonts w:ascii="Times" w:hAnsi="Times" w:cs="Times"/>
          <w:sz w:val="20"/>
          <w:szCs w:val="20"/>
        </w:rPr>
        <w:t xml:space="preserve"> 2022 </w:t>
      </w:r>
      <w:r w:rsidRPr="00363690">
        <w:rPr>
          <w:rStyle w:val="Hervorhebung"/>
          <w:rFonts w:ascii="Times" w:hAnsi="Times" w:cs="Times"/>
          <w:sz w:val="20"/>
          <w:szCs w:val="20"/>
        </w:rPr>
        <w:t>Nucl. Fusion</w:t>
      </w:r>
      <w:r w:rsidRPr="00363690">
        <w:rPr>
          <w:rFonts w:ascii="Times" w:hAnsi="Times" w:cs="Times"/>
          <w:sz w:val="20"/>
          <w:szCs w:val="20"/>
        </w:rPr>
        <w:t xml:space="preserve"> </w:t>
      </w:r>
      <w:r w:rsidRPr="00363690">
        <w:rPr>
          <w:rFonts w:ascii="Times" w:hAnsi="Times" w:cs="Times"/>
          <w:b/>
          <w:bCs/>
          <w:sz w:val="20"/>
          <w:szCs w:val="20"/>
        </w:rPr>
        <w:t>62</w:t>
      </w:r>
      <w:r w:rsidRPr="00363690">
        <w:rPr>
          <w:rFonts w:ascii="Times" w:hAnsi="Times" w:cs="Times"/>
          <w:sz w:val="20"/>
          <w:szCs w:val="20"/>
        </w:rPr>
        <w:t xml:space="preserve"> 042022</w:t>
      </w:r>
    </w:p>
    <w:p w14:paraId="0127E5B0" w14:textId="7EA40BA8" w:rsidR="00B223A1" w:rsidRPr="00363690" w:rsidRDefault="00B223A1" w:rsidP="00B223A1">
      <w:pPr>
        <w:tabs>
          <w:tab w:val="left" w:pos="-2694"/>
        </w:tabs>
        <w:rPr>
          <w:rFonts w:ascii="Times" w:hAnsi="Times" w:cs="Times"/>
          <w:sz w:val="20"/>
        </w:rPr>
      </w:pPr>
      <w:r w:rsidRPr="00363690">
        <w:rPr>
          <w:rFonts w:ascii="Times" w:eastAsia="MS Mincho" w:hAnsi="Times" w:cs="Times"/>
          <w:sz w:val="20"/>
          <w:lang w:val="en-US"/>
        </w:rPr>
        <w:t>[</w:t>
      </w:r>
      <w:r w:rsidR="00363690">
        <w:rPr>
          <w:rFonts w:ascii="Times" w:eastAsia="MS Mincho" w:hAnsi="Times" w:cs="Times"/>
          <w:sz w:val="20"/>
          <w:lang w:val="en-US"/>
        </w:rPr>
        <w:t>4</w:t>
      </w:r>
      <w:r w:rsidRPr="00363690">
        <w:rPr>
          <w:rFonts w:ascii="Times" w:eastAsia="MS Mincho" w:hAnsi="Times" w:cs="Times"/>
          <w:sz w:val="20"/>
          <w:lang w:val="en-US"/>
        </w:rPr>
        <w:t xml:space="preserve">] </w:t>
      </w:r>
      <w:r w:rsidRPr="00363690">
        <w:rPr>
          <w:rFonts w:ascii="Times" w:hAnsi="Times" w:cs="Times"/>
          <w:sz w:val="20"/>
        </w:rPr>
        <w:t>K. A. Avramidis et al., Fusion Engineering and Design 164 (2021) 112173</w:t>
      </w:r>
    </w:p>
    <w:p w14:paraId="199885BF" w14:textId="607FC322" w:rsidR="00363690" w:rsidRPr="00363690" w:rsidRDefault="00363690" w:rsidP="00363690">
      <w:pPr>
        <w:tabs>
          <w:tab w:val="left" w:pos="-2694"/>
        </w:tabs>
        <w:rPr>
          <w:rFonts w:ascii="Times" w:hAnsi="Times" w:cs="Times"/>
          <w:sz w:val="20"/>
        </w:rPr>
      </w:pPr>
      <w:r w:rsidRPr="00363690">
        <w:rPr>
          <w:rFonts w:ascii="Times" w:hAnsi="Times" w:cs="Times"/>
          <w:sz w:val="20"/>
        </w:rPr>
        <w:t>[</w:t>
      </w:r>
      <w:r>
        <w:rPr>
          <w:rFonts w:ascii="Times" w:hAnsi="Times" w:cs="Times"/>
          <w:sz w:val="20"/>
        </w:rPr>
        <w:t>5</w:t>
      </w:r>
      <w:r w:rsidRPr="00363690">
        <w:rPr>
          <w:rFonts w:ascii="Times" w:hAnsi="Times" w:cs="Times"/>
          <w:sz w:val="20"/>
        </w:rPr>
        <w:t>] T. Stange, et al, EPJ Web of Conferences 157, 02008 (2017)</w:t>
      </w:r>
    </w:p>
    <w:p w14:paraId="72A337AC" w14:textId="3286838A" w:rsidR="00B223A1" w:rsidRPr="00363690" w:rsidRDefault="00B223A1" w:rsidP="00B223A1">
      <w:pPr>
        <w:tabs>
          <w:tab w:val="left" w:pos="-2694"/>
        </w:tabs>
        <w:rPr>
          <w:rFonts w:ascii="Times" w:hAnsi="Times" w:cs="Times"/>
          <w:sz w:val="20"/>
        </w:rPr>
      </w:pPr>
      <w:r w:rsidRPr="00363690">
        <w:rPr>
          <w:rFonts w:ascii="Times" w:hAnsi="Times" w:cs="Times"/>
          <w:sz w:val="20"/>
        </w:rPr>
        <w:t>[</w:t>
      </w:r>
      <w:r w:rsidR="00363690">
        <w:rPr>
          <w:rFonts w:ascii="Times" w:hAnsi="Times" w:cs="Times"/>
          <w:sz w:val="20"/>
        </w:rPr>
        <w:t>6</w:t>
      </w:r>
      <w:r w:rsidRPr="00363690">
        <w:rPr>
          <w:rFonts w:ascii="Times" w:hAnsi="Times" w:cs="Times"/>
          <w:sz w:val="20"/>
        </w:rPr>
        <w:t>] F. Wilde et al., Fusion Engineering and Design 148 (2019) 111258</w:t>
      </w:r>
    </w:p>
    <w:p w14:paraId="63A5AB07" w14:textId="23DB74E1" w:rsidR="00F25951" w:rsidRPr="00363690" w:rsidRDefault="00F25951" w:rsidP="00B223A1">
      <w:pPr>
        <w:tabs>
          <w:tab w:val="left" w:pos="-2694"/>
        </w:tabs>
        <w:rPr>
          <w:rFonts w:ascii="Times" w:hAnsi="Times" w:cs="Times"/>
          <w:sz w:val="20"/>
        </w:rPr>
      </w:pPr>
      <w:r w:rsidRPr="00363690">
        <w:rPr>
          <w:rFonts w:ascii="Times" w:hAnsi="Times" w:cs="Times"/>
          <w:sz w:val="20"/>
        </w:rPr>
        <w:t>[</w:t>
      </w:r>
      <w:r w:rsidR="00363690">
        <w:rPr>
          <w:rFonts w:ascii="Times" w:hAnsi="Times" w:cs="Times"/>
          <w:sz w:val="20"/>
        </w:rPr>
        <w:t>7</w:t>
      </w:r>
      <w:r w:rsidRPr="00363690">
        <w:rPr>
          <w:rFonts w:ascii="Times" w:hAnsi="Times" w:cs="Times"/>
          <w:sz w:val="20"/>
        </w:rPr>
        <w:t>] L. Krier</w:t>
      </w:r>
      <w:r w:rsidR="0075686A" w:rsidRPr="00363690">
        <w:rPr>
          <w:rFonts w:ascii="Times" w:hAnsi="Times" w:cs="Times"/>
          <w:sz w:val="20"/>
        </w:rPr>
        <w:t xml:space="preserve">, et al., </w:t>
      </w:r>
      <w:hyperlink r:id="rId15" w:history="1">
        <w:r w:rsidR="00A607AD" w:rsidRPr="00363690">
          <w:rPr>
            <w:rStyle w:val="Hyperlink"/>
            <w:rFonts w:ascii="Times" w:hAnsi="Times" w:cs="Times"/>
            <w:sz w:val="20"/>
          </w:rPr>
          <w:t>https://doi.org/10.1109/IRMMW-THz50926.2021.9566847</w:t>
        </w:r>
      </w:hyperlink>
    </w:p>
    <w:p w14:paraId="3519DAFF" w14:textId="7FE200FD" w:rsidR="009237D9" w:rsidRPr="009237D9" w:rsidRDefault="009237D9" w:rsidP="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imes New Roman" w:hAnsi="Times New Roman" w:cs="Times New Roman"/>
          <w:sz w:val="20"/>
          <w:highlight w:val="yellow"/>
          <w:lang w:val="de-DE" w:eastAsia="en-US"/>
        </w:rPr>
      </w:pPr>
      <w:r w:rsidRPr="00C9620F">
        <w:rPr>
          <w:rFonts w:ascii="Times New Roman" w:hAnsi="Times New Roman" w:cs="Times New Roman"/>
          <w:sz w:val="20"/>
          <w:highlight w:val="yellow"/>
          <w:lang w:val="de-DE" w:eastAsia="en-US"/>
        </w:rPr>
        <w:t xml:space="preserve">[8] </w:t>
      </w:r>
      <w:r w:rsidRPr="009237D9">
        <w:rPr>
          <w:rFonts w:ascii="Times New Roman" w:hAnsi="Times New Roman" w:cs="Times New Roman"/>
          <w:sz w:val="20"/>
          <w:highlight w:val="yellow"/>
          <w:lang w:val="de-DE" w:eastAsia="en-US"/>
        </w:rPr>
        <w:t xml:space="preserve">V. Erckmann, W. Kasparek, K. van’t Kloosters, Y. Koshurinov, </w:t>
      </w:r>
    </w:p>
    <w:p w14:paraId="3BF332E4" w14:textId="77777777" w:rsidR="009237D9" w:rsidRPr="009237D9" w:rsidRDefault="009237D9" w:rsidP="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imes New Roman" w:hAnsi="Times New Roman" w:cs="Times New Roman"/>
          <w:sz w:val="20"/>
          <w:lang w:val="en-US" w:eastAsia="en-US"/>
        </w:rPr>
      </w:pPr>
      <w:r w:rsidRPr="009237D9">
        <w:rPr>
          <w:rFonts w:ascii="Times New Roman" w:hAnsi="Times New Roman" w:cs="Times New Roman"/>
          <w:sz w:val="20"/>
          <w:highlight w:val="yellow"/>
          <w:lang w:val="en-US" w:eastAsia="en-US"/>
        </w:rPr>
        <w:t>S. Kubo, M. Petelin, K. Sakamoto, M. Thumm, Z. Wu: Quasi-optical components for microwave control and remote sensing. 15th IEEE International Vacuum Electronics Conference (IVEC 2014), 2014, Monterey, CA, USA, 3.3.</w:t>
      </w:r>
    </w:p>
    <w:p w14:paraId="743D22DB" w14:textId="15677EB2" w:rsidR="00A607AD" w:rsidRPr="009237D9" w:rsidRDefault="00A607AD" w:rsidP="00B223A1">
      <w:pPr>
        <w:tabs>
          <w:tab w:val="left" w:pos="-2694"/>
        </w:tabs>
        <w:rPr>
          <w:rFonts w:ascii="Times" w:hAnsi="Times" w:cs="Times"/>
          <w:sz w:val="20"/>
          <w:lang w:val="en-US"/>
        </w:rPr>
      </w:pPr>
    </w:p>
    <w:p w14:paraId="3E743A72" w14:textId="0BF301B5" w:rsidR="00A607AD" w:rsidRDefault="00A607AD" w:rsidP="00B223A1">
      <w:pPr>
        <w:tabs>
          <w:tab w:val="left" w:pos="-2694"/>
        </w:tabs>
        <w:rPr>
          <w:rFonts w:ascii="Times" w:hAnsi="Times" w:cs="Times"/>
          <w:sz w:val="20"/>
        </w:rPr>
      </w:pPr>
    </w:p>
    <w:p w14:paraId="2ECE41BD" w14:textId="4341617B" w:rsidR="007533D4" w:rsidRDefault="007533D4" w:rsidP="007533D4">
      <w:pPr>
        <w:tabs>
          <w:tab w:val="left" w:pos="-2694"/>
        </w:tabs>
        <w:rPr>
          <w:rFonts w:ascii="Arial" w:hAnsi="Arial" w:cs="Arial"/>
          <w:b/>
          <w:sz w:val="20"/>
          <w:lang w:val="en-US"/>
        </w:rPr>
      </w:pPr>
      <w:r>
        <w:rPr>
          <w:rFonts w:ascii="Arial" w:hAnsi="Arial" w:cs="Arial"/>
          <w:b/>
          <w:sz w:val="20"/>
          <w:lang w:val="en-US"/>
        </w:rPr>
        <w:t>Acknowledge</w:t>
      </w:r>
    </w:p>
    <w:p w14:paraId="04952B83" w14:textId="517C762B" w:rsidR="00A607AD" w:rsidRPr="007533D4" w:rsidRDefault="00A607AD" w:rsidP="00B223A1">
      <w:pPr>
        <w:tabs>
          <w:tab w:val="left" w:pos="-2694"/>
        </w:tabs>
        <w:rPr>
          <w:rFonts w:ascii="Times" w:hAnsi="Times" w:cs="Times"/>
          <w:sz w:val="20"/>
          <w:lang w:val="en-US"/>
        </w:rPr>
      </w:pPr>
    </w:p>
    <w:p w14:paraId="1343EB17" w14:textId="36FBEBFB" w:rsidR="00A607AD" w:rsidRPr="007533D4" w:rsidRDefault="007533D4" w:rsidP="00A607AD">
      <w:pPr>
        <w:tabs>
          <w:tab w:val="left" w:pos="-2694"/>
        </w:tabs>
        <w:jc w:val="both"/>
        <w:rPr>
          <w:rFonts w:ascii="Times" w:hAnsi="Times" w:cs="Times"/>
          <w:sz w:val="20"/>
        </w:rPr>
      </w:pPr>
      <w:r w:rsidRPr="007533D4">
        <w:rPr>
          <w:rStyle w:val="markedcontent"/>
          <w:rFonts w:ascii="Times" w:hAnsi="Times" w:cs="Times"/>
          <w:sz w:val="20"/>
        </w:rPr>
        <w:t>This work has been carried out within the framework of the EUROfusion Consortium,</w:t>
      </w:r>
      <w:r>
        <w:rPr>
          <w:rFonts w:ascii="Times" w:hAnsi="Times" w:cs="Times"/>
          <w:sz w:val="20"/>
        </w:rPr>
        <w:t xml:space="preserve"> </w:t>
      </w:r>
      <w:r w:rsidRPr="007533D4">
        <w:rPr>
          <w:rStyle w:val="markedcontent"/>
          <w:rFonts w:ascii="Times" w:hAnsi="Times" w:cs="Times"/>
          <w:sz w:val="20"/>
        </w:rPr>
        <w:t>funded by the European Union via th</w:t>
      </w:r>
      <w:r>
        <w:rPr>
          <w:rStyle w:val="markedcontent"/>
          <w:rFonts w:ascii="Times" w:hAnsi="Times" w:cs="Times"/>
          <w:sz w:val="20"/>
        </w:rPr>
        <w:t xml:space="preserve">e Euratom Research and Training </w:t>
      </w:r>
      <w:r w:rsidRPr="007533D4">
        <w:rPr>
          <w:rStyle w:val="markedcontent"/>
          <w:rFonts w:ascii="Times" w:hAnsi="Times" w:cs="Times"/>
          <w:sz w:val="20"/>
        </w:rPr>
        <w:t>Programme</w:t>
      </w:r>
      <w:r>
        <w:rPr>
          <w:rFonts w:ascii="Times" w:hAnsi="Times" w:cs="Times"/>
          <w:sz w:val="20"/>
        </w:rPr>
        <w:t xml:space="preserve"> </w:t>
      </w:r>
      <w:r w:rsidRPr="007533D4">
        <w:rPr>
          <w:rStyle w:val="markedcontent"/>
          <w:rFonts w:ascii="Times" w:hAnsi="Times" w:cs="Times"/>
          <w:sz w:val="20"/>
        </w:rPr>
        <w:t xml:space="preserve">(Grant Agreement No 101052200 — </w:t>
      </w:r>
      <w:r>
        <w:rPr>
          <w:rStyle w:val="markedcontent"/>
          <w:rFonts w:ascii="Times" w:hAnsi="Times" w:cs="Times"/>
          <w:sz w:val="20"/>
        </w:rPr>
        <w:t xml:space="preserve">EUROfusion). </w:t>
      </w:r>
      <w:r w:rsidRPr="007533D4">
        <w:rPr>
          <w:rStyle w:val="markedcontent"/>
          <w:rFonts w:ascii="Times" w:hAnsi="Times" w:cs="Times"/>
          <w:sz w:val="20"/>
        </w:rPr>
        <w:t>Views and opinions expressed</w:t>
      </w:r>
      <w:r>
        <w:rPr>
          <w:rFonts w:ascii="Times" w:hAnsi="Times" w:cs="Times"/>
          <w:sz w:val="20"/>
        </w:rPr>
        <w:t xml:space="preserve"> </w:t>
      </w:r>
      <w:r w:rsidRPr="007533D4">
        <w:rPr>
          <w:rStyle w:val="markedcontent"/>
          <w:rFonts w:ascii="Times" w:hAnsi="Times" w:cs="Times"/>
          <w:sz w:val="20"/>
        </w:rPr>
        <w:t>are however those o</w:t>
      </w:r>
      <w:r>
        <w:rPr>
          <w:rStyle w:val="markedcontent"/>
          <w:rFonts w:ascii="Times" w:hAnsi="Times" w:cs="Times"/>
          <w:sz w:val="20"/>
        </w:rPr>
        <w:t xml:space="preserve">f the author(s) only and do not </w:t>
      </w:r>
      <w:r w:rsidRPr="007533D4">
        <w:rPr>
          <w:rStyle w:val="markedcontent"/>
          <w:rFonts w:ascii="Times" w:hAnsi="Times" w:cs="Times"/>
          <w:sz w:val="20"/>
        </w:rPr>
        <w:t>necessarily reflect those of the</w:t>
      </w:r>
      <w:r>
        <w:rPr>
          <w:rFonts w:ascii="Times" w:hAnsi="Times" w:cs="Times"/>
          <w:sz w:val="20"/>
        </w:rPr>
        <w:t xml:space="preserve"> </w:t>
      </w:r>
      <w:r w:rsidRPr="007533D4">
        <w:rPr>
          <w:rStyle w:val="markedcontent"/>
          <w:rFonts w:ascii="Times" w:hAnsi="Times" w:cs="Times"/>
          <w:sz w:val="20"/>
        </w:rPr>
        <w:t>European Union or the European Commission.</w:t>
      </w:r>
      <w:r>
        <w:rPr>
          <w:rStyle w:val="markedcontent"/>
          <w:rFonts w:ascii="Times" w:hAnsi="Times" w:cs="Times"/>
          <w:sz w:val="20"/>
        </w:rPr>
        <w:t xml:space="preserve"> Neither the European Union nor </w:t>
      </w:r>
      <w:r w:rsidRPr="007533D4">
        <w:rPr>
          <w:rStyle w:val="markedcontent"/>
          <w:rFonts w:ascii="Times" w:hAnsi="Times" w:cs="Times"/>
          <w:sz w:val="20"/>
        </w:rPr>
        <w:t>the</w:t>
      </w:r>
      <w:r>
        <w:rPr>
          <w:rFonts w:ascii="Times" w:hAnsi="Times" w:cs="Times"/>
          <w:sz w:val="20"/>
        </w:rPr>
        <w:t xml:space="preserve"> </w:t>
      </w:r>
      <w:r w:rsidRPr="007533D4">
        <w:rPr>
          <w:rStyle w:val="markedcontent"/>
          <w:rFonts w:ascii="Times" w:hAnsi="Times" w:cs="Times"/>
          <w:sz w:val="20"/>
        </w:rPr>
        <w:t>European Commission can be held responsible for them.</w:t>
      </w:r>
    </w:p>
    <w:p w14:paraId="7A9BBE2A" w14:textId="77777777" w:rsidR="00B223A1" w:rsidRPr="00A607AD" w:rsidRDefault="00B223A1" w:rsidP="00B223A1">
      <w:pPr>
        <w:tabs>
          <w:tab w:val="left" w:pos="-2694"/>
        </w:tabs>
        <w:rPr>
          <w:rFonts w:ascii="Times" w:eastAsia="MS Mincho" w:hAnsi="Times" w:cs="Times"/>
          <w:sz w:val="20"/>
          <w:lang w:val="en-US"/>
        </w:rPr>
      </w:pPr>
    </w:p>
    <w:p w14:paraId="507483E9" w14:textId="77777777" w:rsidR="00B223A1" w:rsidRPr="00A607AD" w:rsidRDefault="00B223A1" w:rsidP="00B223A1">
      <w:pPr>
        <w:tabs>
          <w:tab w:val="left" w:pos="-2694"/>
        </w:tabs>
        <w:jc w:val="both"/>
        <w:rPr>
          <w:rFonts w:ascii="Times" w:hAnsi="Times" w:cs="Times"/>
          <w:sz w:val="20"/>
          <w:lang w:val="en-US"/>
        </w:rPr>
      </w:pPr>
    </w:p>
    <w:p w14:paraId="0BA233CF" w14:textId="77777777" w:rsidR="00B223A1" w:rsidRPr="00A607AD" w:rsidRDefault="00B223A1" w:rsidP="00090BBF">
      <w:pPr>
        <w:pStyle w:val="Subsection"/>
        <w:numPr>
          <w:ilvl w:val="0"/>
          <w:numId w:val="0"/>
        </w:numPr>
        <w:rPr>
          <w:rFonts w:ascii="Times" w:hAnsi="Times" w:cs="Times"/>
          <w:szCs w:val="20"/>
          <w:lang w:val="en-US"/>
        </w:rPr>
      </w:pPr>
    </w:p>
    <w:sectPr w:rsidR="00B223A1" w:rsidRPr="00A607AD"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86809" w14:textId="77777777" w:rsidR="002A2AB9" w:rsidRDefault="002A2AB9">
      <w:r>
        <w:separator/>
      </w:r>
    </w:p>
  </w:endnote>
  <w:endnote w:type="continuationSeparator" w:id="0">
    <w:p w14:paraId="0AB49963" w14:textId="77777777" w:rsidR="002A2AB9" w:rsidRDefault="002A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ＭＳ 明朝">
    <w:altName w:val="Yu Gothic UI"/>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5D40B" w14:textId="77777777" w:rsidR="002A2AB9" w:rsidRDefault="002A2AB9">
      <w:r>
        <w:separator/>
      </w:r>
    </w:p>
  </w:footnote>
  <w:footnote w:type="continuationSeparator" w:id="0">
    <w:p w14:paraId="4BFA5D55" w14:textId="77777777" w:rsidR="002A2AB9" w:rsidRDefault="002A2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1277"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3D18048A"/>
    <w:multiLevelType w:val="hybridMultilevel"/>
    <w:tmpl w:val="1642268C"/>
    <w:name w:val="HeadingTemplate222"/>
    <w:lvl w:ilvl="0" w:tplc="309A0324">
      <w:start w:val="1"/>
      <w:numFmt w:val="decimal"/>
      <w:pStyle w:val="Referencelist"/>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3E161F18"/>
    <w:multiLevelType w:val="hybridMultilevel"/>
    <w:tmpl w:val="93989A94"/>
    <w:lvl w:ilvl="0" w:tplc="04090011">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79144E"/>
    <w:multiLevelType w:val="hybridMultilevel"/>
    <w:tmpl w:val="6EFC5192"/>
    <w:lvl w:ilvl="0" w:tplc="ECF4EF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5D"/>
    <w:rsid w:val="000305E0"/>
    <w:rsid w:val="00036AC2"/>
    <w:rsid w:val="0006121B"/>
    <w:rsid w:val="00071DB6"/>
    <w:rsid w:val="0007205F"/>
    <w:rsid w:val="00090BBF"/>
    <w:rsid w:val="000972D6"/>
    <w:rsid w:val="000A0FAB"/>
    <w:rsid w:val="000A486E"/>
    <w:rsid w:val="000B7F84"/>
    <w:rsid w:val="000D495E"/>
    <w:rsid w:val="000E4989"/>
    <w:rsid w:val="000F4BC6"/>
    <w:rsid w:val="00107CF2"/>
    <w:rsid w:val="00115A48"/>
    <w:rsid w:val="00144AE8"/>
    <w:rsid w:val="00161411"/>
    <w:rsid w:val="00161B60"/>
    <w:rsid w:val="001629AC"/>
    <w:rsid w:val="00180674"/>
    <w:rsid w:val="001831C7"/>
    <w:rsid w:val="001910F3"/>
    <w:rsid w:val="0019318D"/>
    <w:rsid w:val="001950C8"/>
    <w:rsid w:val="001A6897"/>
    <w:rsid w:val="001D6356"/>
    <w:rsid w:val="001D7D41"/>
    <w:rsid w:val="001E73EB"/>
    <w:rsid w:val="001F29ED"/>
    <w:rsid w:val="00207DA4"/>
    <w:rsid w:val="00224297"/>
    <w:rsid w:val="00226748"/>
    <w:rsid w:val="00226AB3"/>
    <w:rsid w:val="00231CAD"/>
    <w:rsid w:val="00255C10"/>
    <w:rsid w:val="00256A72"/>
    <w:rsid w:val="00260B0A"/>
    <w:rsid w:val="00265E7E"/>
    <w:rsid w:val="0028050F"/>
    <w:rsid w:val="0029155F"/>
    <w:rsid w:val="00291934"/>
    <w:rsid w:val="00293B7C"/>
    <w:rsid w:val="002A0DEB"/>
    <w:rsid w:val="002A2AB9"/>
    <w:rsid w:val="002A50BB"/>
    <w:rsid w:val="002B5EE3"/>
    <w:rsid w:val="002C3C17"/>
    <w:rsid w:val="002D384B"/>
    <w:rsid w:val="002D7B87"/>
    <w:rsid w:val="002F3A7D"/>
    <w:rsid w:val="0033278B"/>
    <w:rsid w:val="00334AAD"/>
    <w:rsid w:val="00335E44"/>
    <w:rsid w:val="00356A8B"/>
    <w:rsid w:val="00363690"/>
    <w:rsid w:val="0038187F"/>
    <w:rsid w:val="003862E2"/>
    <w:rsid w:val="0038735C"/>
    <w:rsid w:val="00390532"/>
    <w:rsid w:val="003975FB"/>
    <w:rsid w:val="003A6777"/>
    <w:rsid w:val="003C2145"/>
    <w:rsid w:val="003D4AE7"/>
    <w:rsid w:val="003E06B2"/>
    <w:rsid w:val="003E65E7"/>
    <w:rsid w:val="003E7307"/>
    <w:rsid w:val="004103A6"/>
    <w:rsid w:val="00411726"/>
    <w:rsid w:val="00420011"/>
    <w:rsid w:val="0043471D"/>
    <w:rsid w:val="00444427"/>
    <w:rsid w:val="00445433"/>
    <w:rsid w:val="00447F79"/>
    <w:rsid w:val="004568DC"/>
    <w:rsid w:val="0046665C"/>
    <w:rsid w:val="00476886"/>
    <w:rsid w:val="004836F5"/>
    <w:rsid w:val="00483F49"/>
    <w:rsid w:val="004C62FB"/>
    <w:rsid w:val="004E2295"/>
    <w:rsid w:val="004E474F"/>
    <w:rsid w:val="004F5CA3"/>
    <w:rsid w:val="00502085"/>
    <w:rsid w:val="005054FC"/>
    <w:rsid w:val="00505AFF"/>
    <w:rsid w:val="00510393"/>
    <w:rsid w:val="00524C4B"/>
    <w:rsid w:val="00526F18"/>
    <w:rsid w:val="00533F04"/>
    <w:rsid w:val="00537E89"/>
    <w:rsid w:val="005559D8"/>
    <w:rsid w:val="00562AE0"/>
    <w:rsid w:val="005729C2"/>
    <w:rsid w:val="0057465D"/>
    <w:rsid w:val="00582877"/>
    <w:rsid w:val="0058479E"/>
    <w:rsid w:val="00586096"/>
    <w:rsid w:val="005A209E"/>
    <w:rsid w:val="005B19EA"/>
    <w:rsid w:val="005B3EBD"/>
    <w:rsid w:val="005B73CB"/>
    <w:rsid w:val="005C4697"/>
    <w:rsid w:val="005C62E6"/>
    <w:rsid w:val="005D7655"/>
    <w:rsid w:val="005E6A65"/>
    <w:rsid w:val="005E7CA9"/>
    <w:rsid w:val="005F4BD5"/>
    <w:rsid w:val="00600F80"/>
    <w:rsid w:val="0060390D"/>
    <w:rsid w:val="00672948"/>
    <w:rsid w:val="00680209"/>
    <w:rsid w:val="00680716"/>
    <w:rsid w:val="0068353B"/>
    <w:rsid w:val="00694711"/>
    <w:rsid w:val="006A40BD"/>
    <w:rsid w:val="006A5A4E"/>
    <w:rsid w:val="006B4BF8"/>
    <w:rsid w:val="006B7025"/>
    <w:rsid w:val="006C3C3C"/>
    <w:rsid w:val="006E4E52"/>
    <w:rsid w:val="006F413D"/>
    <w:rsid w:val="00705FC3"/>
    <w:rsid w:val="00733B64"/>
    <w:rsid w:val="00743B2C"/>
    <w:rsid w:val="007533D4"/>
    <w:rsid w:val="0075686A"/>
    <w:rsid w:val="00757AC0"/>
    <w:rsid w:val="00762CF1"/>
    <w:rsid w:val="00765B30"/>
    <w:rsid w:val="007719FE"/>
    <w:rsid w:val="007851E6"/>
    <w:rsid w:val="007877C1"/>
    <w:rsid w:val="007B0BA3"/>
    <w:rsid w:val="007D0C5B"/>
    <w:rsid w:val="007F172A"/>
    <w:rsid w:val="008039EA"/>
    <w:rsid w:val="0082470E"/>
    <w:rsid w:val="00826219"/>
    <w:rsid w:val="00826250"/>
    <w:rsid w:val="0083466D"/>
    <w:rsid w:val="00836D0B"/>
    <w:rsid w:val="0085246D"/>
    <w:rsid w:val="00855148"/>
    <w:rsid w:val="00872F9B"/>
    <w:rsid w:val="00884B7E"/>
    <w:rsid w:val="00892772"/>
    <w:rsid w:val="008A1357"/>
    <w:rsid w:val="008B09DD"/>
    <w:rsid w:val="008B39BC"/>
    <w:rsid w:val="008D0D63"/>
    <w:rsid w:val="008D1EDC"/>
    <w:rsid w:val="008D5F89"/>
    <w:rsid w:val="008E5AE4"/>
    <w:rsid w:val="008F44DB"/>
    <w:rsid w:val="009069DB"/>
    <w:rsid w:val="00914C5C"/>
    <w:rsid w:val="009150F4"/>
    <w:rsid w:val="009167B7"/>
    <w:rsid w:val="00917F94"/>
    <w:rsid w:val="009237D9"/>
    <w:rsid w:val="009320FB"/>
    <w:rsid w:val="00937B86"/>
    <w:rsid w:val="00940E7D"/>
    <w:rsid w:val="00941802"/>
    <w:rsid w:val="00957228"/>
    <w:rsid w:val="00961111"/>
    <w:rsid w:val="00984EE6"/>
    <w:rsid w:val="00991B08"/>
    <w:rsid w:val="00991F82"/>
    <w:rsid w:val="009A499A"/>
    <w:rsid w:val="009C0DF7"/>
    <w:rsid w:val="009C3AF2"/>
    <w:rsid w:val="009C6152"/>
    <w:rsid w:val="009D5F11"/>
    <w:rsid w:val="009E1402"/>
    <w:rsid w:val="009E2777"/>
    <w:rsid w:val="009E6E5F"/>
    <w:rsid w:val="009F5DA9"/>
    <w:rsid w:val="00A2670B"/>
    <w:rsid w:val="00A30EC2"/>
    <w:rsid w:val="00A356E6"/>
    <w:rsid w:val="00A42F10"/>
    <w:rsid w:val="00A473A5"/>
    <w:rsid w:val="00A568E8"/>
    <w:rsid w:val="00A607AD"/>
    <w:rsid w:val="00A66FA6"/>
    <w:rsid w:val="00A74233"/>
    <w:rsid w:val="00AA185D"/>
    <w:rsid w:val="00AA4651"/>
    <w:rsid w:val="00AA47C2"/>
    <w:rsid w:val="00AA516F"/>
    <w:rsid w:val="00AA70A4"/>
    <w:rsid w:val="00AB1D0F"/>
    <w:rsid w:val="00AB512B"/>
    <w:rsid w:val="00AB5D47"/>
    <w:rsid w:val="00AC6424"/>
    <w:rsid w:val="00AD37D0"/>
    <w:rsid w:val="00AD4414"/>
    <w:rsid w:val="00B005F7"/>
    <w:rsid w:val="00B036D9"/>
    <w:rsid w:val="00B219AF"/>
    <w:rsid w:val="00B223A1"/>
    <w:rsid w:val="00B603A0"/>
    <w:rsid w:val="00B66A72"/>
    <w:rsid w:val="00B94474"/>
    <w:rsid w:val="00BB3C8C"/>
    <w:rsid w:val="00BC7817"/>
    <w:rsid w:val="00BE1A65"/>
    <w:rsid w:val="00BE65F6"/>
    <w:rsid w:val="00BF7511"/>
    <w:rsid w:val="00C16E56"/>
    <w:rsid w:val="00C35609"/>
    <w:rsid w:val="00C53899"/>
    <w:rsid w:val="00C83DD6"/>
    <w:rsid w:val="00C9620F"/>
    <w:rsid w:val="00CA4E68"/>
    <w:rsid w:val="00CB318B"/>
    <w:rsid w:val="00CD274F"/>
    <w:rsid w:val="00CD4590"/>
    <w:rsid w:val="00D13235"/>
    <w:rsid w:val="00D21A82"/>
    <w:rsid w:val="00D52043"/>
    <w:rsid w:val="00D55A32"/>
    <w:rsid w:val="00D61394"/>
    <w:rsid w:val="00D660F7"/>
    <w:rsid w:val="00D7756C"/>
    <w:rsid w:val="00D93645"/>
    <w:rsid w:val="00DB26F8"/>
    <w:rsid w:val="00DB3B4E"/>
    <w:rsid w:val="00DC186C"/>
    <w:rsid w:val="00DE6C67"/>
    <w:rsid w:val="00DF087D"/>
    <w:rsid w:val="00DF69E4"/>
    <w:rsid w:val="00DF7C92"/>
    <w:rsid w:val="00E11D7B"/>
    <w:rsid w:val="00E14396"/>
    <w:rsid w:val="00E21346"/>
    <w:rsid w:val="00E31222"/>
    <w:rsid w:val="00E40E2C"/>
    <w:rsid w:val="00E56E7A"/>
    <w:rsid w:val="00E5712F"/>
    <w:rsid w:val="00E5799E"/>
    <w:rsid w:val="00E72D69"/>
    <w:rsid w:val="00E765B0"/>
    <w:rsid w:val="00E8700C"/>
    <w:rsid w:val="00EA0063"/>
    <w:rsid w:val="00EA371F"/>
    <w:rsid w:val="00EA3BA0"/>
    <w:rsid w:val="00EA65AA"/>
    <w:rsid w:val="00EB5AA0"/>
    <w:rsid w:val="00ED07C1"/>
    <w:rsid w:val="00EE0718"/>
    <w:rsid w:val="00EE4379"/>
    <w:rsid w:val="00F01A35"/>
    <w:rsid w:val="00F05EBE"/>
    <w:rsid w:val="00F0715B"/>
    <w:rsid w:val="00F213B6"/>
    <w:rsid w:val="00F25951"/>
    <w:rsid w:val="00F31A5C"/>
    <w:rsid w:val="00F36CE8"/>
    <w:rsid w:val="00F4067B"/>
    <w:rsid w:val="00F6496A"/>
    <w:rsid w:val="00F7426B"/>
    <w:rsid w:val="00FA141B"/>
    <w:rsid w:val="00FA5E36"/>
    <w:rsid w:val="00FB65AF"/>
    <w:rsid w:val="00FC40C2"/>
    <w:rsid w:val="00FC46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0715B"/>
    <w:pPr>
      <w:suppressAutoHyphens/>
    </w:pPr>
    <w:rPr>
      <w:rFonts w:ascii="New York" w:hAnsi="New York" w:cs="New York"/>
      <w:sz w:val="24"/>
      <w:lang w:eastAsia="ar-SA"/>
    </w:rPr>
  </w:style>
  <w:style w:type="paragraph" w:styleId="berschrift1">
    <w:name w:val="heading 1"/>
    <w:basedOn w:val="Standard"/>
    <w:next w:val="Standard"/>
    <w:link w:val="berschrift1Zchn"/>
    <w:rsid w:val="00937B86"/>
    <w:pPr>
      <w:spacing w:before="340" w:after="170"/>
      <w:jc w:val="both"/>
      <w:outlineLvl w:val="0"/>
    </w:pPr>
    <w:rPr>
      <w:rFonts w:ascii="Arial" w:hAnsi="Arial" w:cs="Arial"/>
      <w:b/>
      <w:szCs w:val="24"/>
      <w:lang w:val="en-GB"/>
    </w:rPr>
  </w:style>
  <w:style w:type="paragraph" w:styleId="berschrift2">
    <w:name w:val="heading 2"/>
    <w:basedOn w:val="Standard"/>
    <w:next w:val="Standard"/>
    <w:link w:val="berschrift2Zchn"/>
    <w:semiHidden/>
    <w:unhideWhenUsed/>
    <w:qFormat/>
    <w:rsid w:val="008D5F89"/>
    <w:pPr>
      <w:keepNext/>
      <w:spacing w:before="240" w:after="60"/>
      <w:outlineLvl w:val="1"/>
    </w:pPr>
    <w:rPr>
      <w:rFonts w:ascii="Calibri Light" w:hAnsi="Calibri Light" w:cs="Times New Roman"/>
      <w:b/>
      <w:bCs/>
      <w:i/>
      <w:iCs/>
      <w:sz w:val="28"/>
      <w:szCs w:val="28"/>
    </w:rPr>
  </w:style>
  <w:style w:type="paragraph" w:styleId="berschrift3">
    <w:name w:val="heading 3"/>
    <w:basedOn w:val="Standard"/>
    <w:next w:val="Standard"/>
    <w:link w:val="berschrift3Zchn"/>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37B86"/>
    <w:rPr>
      <w:rFonts w:ascii="Arial" w:hAnsi="Arial" w:cs="Arial"/>
      <w:b/>
      <w:sz w:val="24"/>
      <w:szCs w:val="24"/>
      <w:lang w:val="en-GB" w:eastAsia="ar-SA"/>
    </w:rPr>
  </w:style>
  <w:style w:type="character" w:customStyle="1" w:styleId="berschrift2Zchn">
    <w:name w:val="Überschrift 2 Zchn"/>
    <w:link w:val="berschrift2"/>
    <w:semiHidden/>
    <w:rsid w:val="008D5F89"/>
    <w:rPr>
      <w:rFonts w:ascii="Calibri Light" w:eastAsia="Times New Roman" w:hAnsi="Calibri Light" w:cs="Times New Roman"/>
      <w:b/>
      <w:bCs/>
      <w:i/>
      <w:iCs/>
      <w:sz w:val="28"/>
      <w:szCs w:val="28"/>
      <w:lang w:val="fr-FR" w:eastAsia="ar-SA"/>
    </w:rPr>
  </w:style>
  <w:style w:type="character" w:customStyle="1" w:styleId="berschrift3Zchn">
    <w:name w:val="Überschrift 3 Zchn"/>
    <w:link w:val="berschrift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Standard"/>
    <w:next w:val="Standard"/>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unotentext"/>
    <w:next w:val="Standard"/>
    <w:link w:val="NotecorrespondingauthorCar"/>
    <w:rsid w:val="005B3EBD"/>
    <w:rPr>
      <w:rFonts w:ascii="Times New Roman" w:hAnsi="Times New Roman"/>
      <w:vertAlign w:val="superscript"/>
    </w:rPr>
  </w:style>
  <w:style w:type="paragraph" w:styleId="Funotentext">
    <w:name w:val="footnote text"/>
    <w:basedOn w:val="Standard"/>
    <w:link w:val="FunotentextZchn"/>
    <w:semiHidden/>
    <w:rsid w:val="00B036D9"/>
    <w:rPr>
      <w:sz w:val="20"/>
    </w:rPr>
  </w:style>
  <w:style w:type="character" w:customStyle="1" w:styleId="FunotentextZchn">
    <w:name w:val="Fußnotentext Zchn"/>
    <w:link w:val="Funoten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Standard"/>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Standard"/>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Standard"/>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berschrift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Standard"/>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Seitenzahl">
    <w:name w:val="page number"/>
    <w:basedOn w:val="Absatz-Standardschriftart"/>
    <w:rsid w:val="00D93645"/>
  </w:style>
  <w:style w:type="character" w:styleId="Funotenzeichen">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nzeichen">
    <w:name w:val="endnote reference"/>
    <w:semiHidden/>
    <w:rsid w:val="00B036D9"/>
    <w:rPr>
      <w:vertAlign w:val="superscript"/>
    </w:rPr>
  </w:style>
  <w:style w:type="paragraph" w:styleId="Fuzeile">
    <w:name w:val="footer"/>
    <w:basedOn w:val="Standard"/>
    <w:link w:val="FuzeileZchn"/>
    <w:uiPriority w:val="99"/>
    <w:rsid w:val="00B036D9"/>
  </w:style>
  <w:style w:type="character" w:customStyle="1" w:styleId="FuzeileZchn">
    <w:name w:val="Fußzeile Zchn"/>
    <w:link w:val="Fuzeile"/>
    <w:uiPriority w:val="99"/>
    <w:rsid w:val="007719FE"/>
    <w:rPr>
      <w:rFonts w:ascii="New York" w:hAnsi="New York" w:cs="New York"/>
      <w:sz w:val="24"/>
      <w:lang w:eastAsia="ar-SA"/>
    </w:rPr>
  </w:style>
  <w:style w:type="paragraph" w:customStyle="1" w:styleId="Tablecontent">
    <w:name w:val="Table content"/>
    <w:basedOn w:val="Standard"/>
    <w:rsid w:val="0006121B"/>
    <w:pPr>
      <w:jc w:val="center"/>
    </w:pPr>
    <w:rPr>
      <w:rFonts w:ascii="Times" w:hAnsi="Times" w:cs="Times New Roman"/>
      <w:sz w:val="18"/>
    </w:rPr>
  </w:style>
  <w:style w:type="paragraph" w:customStyle="1" w:styleId="TableHeading">
    <w:name w:val="Table Heading"/>
    <w:basedOn w:val="Standard"/>
    <w:rsid w:val="0006121B"/>
    <w:pPr>
      <w:suppressLineNumbers/>
      <w:jc w:val="center"/>
    </w:pPr>
    <w:rPr>
      <w:b/>
      <w:bCs/>
    </w:rPr>
  </w:style>
  <w:style w:type="character" w:styleId="Hyperlink">
    <w:name w:val="Hyperlink"/>
    <w:rsid w:val="004C62FB"/>
    <w:rPr>
      <w:color w:val="0000FF"/>
      <w:u w:val="single"/>
    </w:rPr>
  </w:style>
  <w:style w:type="paragraph" w:styleId="Titel">
    <w:name w:val="Title"/>
    <w:basedOn w:val="Standard"/>
    <w:next w:val="AuthorLastName"/>
    <w:link w:val="TitelZchn"/>
    <w:qFormat/>
    <w:rsid w:val="00937B86"/>
    <w:pPr>
      <w:spacing w:before="1247" w:after="340"/>
      <w:jc w:val="both"/>
    </w:pPr>
    <w:rPr>
      <w:rFonts w:ascii="Arial" w:hAnsi="Arial" w:cs="Arial"/>
      <w:b/>
      <w:sz w:val="32"/>
      <w:szCs w:val="32"/>
      <w:lang w:val="en-GB"/>
    </w:rPr>
  </w:style>
  <w:style w:type="character" w:customStyle="1" w:styleId="TitelZchn">
    <w:name w:val="Titel Zchn"/>
    <w:link w:val="Titel"/>
    <w:rsid w:val="00937B86"/>
    <w:rPr>
      <w:rFonts w:ascii="Arial" w:hAnsi="Arial" w:cs="Arial"/>
      <w:b/>
      <w:sz w:val="32"/>
      <w:szCs w:val="32"/>
      <w:lang w:val="en-GB" w:eastAsia="ar-SA"/>
    </w:rPr>
  </w:style>
  <w:style w:type="paragraph" w:customStyle="1" w:styleId="Section0">
    <w:name w:val="Section*"/>
    <w:basedOn w:val="berschrift1"/>
    <w:next w:val="Paragraphfirst"/>
    <w:qFormat/>
    <w:rsid w:val="00FB65AF"/>
  </w:style>
  <w:style w:type="paragraph" w:customStyle="1" w:styleId="Subsection">
    <w:name w:val="Subsection"/>
    <w:basedOn w:val="berschrift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berschrift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Standard"/>
    <w:rsid w:val="00F7426B"/>
    <w:pPr>
      <w:jc w:val="center"/>
    </w:pPr>
    <w:rPr>
      <w:rFonts w:cs="Times New Roman"/>
    </w:rPr>
  </w:style>
  <w:style w:type="paragraph" w:customStyle="1" w:styleId="TableCaption">
    <w:name w:val="Table Caption"/>
    <w:basedOn w:val="Standard"/>
    <w:qFormat/>
    <w:rsid w:val="005E6A65"/>
    <w:pPr>
      <w:spacing w:before="120" w:after="120"/>
      <w:jc w:val="center"/>
    </w:pPr>
    <w:rPr>
      <w:rFonts w:ascii="Times" w:hAnsi="Times"/>
      <w:iCs/>
      <w:sz w:val="18"/>
      <w:szCs w:val="16"/>
      <w:lang w:val="en-GB"/>
    </w:rPr>
  </w:style>
  <w:style w:type="paragraph" w:styleId="Kommentarthema">
    <w:name w:val="annotation subject"/>
    <w:basedOn w:val="Standard"/>
    <w:next w:val="Standard"/>
    <w:link w:val="KommentarthemaZchn"/>
    <w:rsid w:val="00F7426B"/>
    <w:rPr>
      <w:b/>
      <w:bCs/>
      <w:sz w:val="20"/>
    </w:rPr>
  </w:style>
  <w:style w:type="character" w:customStyle="1" w:styleId="KommentarthemaZchn">
    <w:name w:val="Kommentarthema Zchn"/>
    <w:link w:val="Kommentarthem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Standard"/>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Standard"/>
    <w:rsid w:val="0006121B"/>
    <w:pPr>
      <w:jc w:val="center"/>
    </w:pPr>
    <w:rPr>
      <w:rFonts w:ascii="Times" w:hAnsi="Times" w:cs="Times New Roman"/>
      <w:b/>
      <w:bCs/>
      <w:sz w:val="18"/>
    </w:rPr>
  </w:style>
  <w:style w:type="paragraph" w:customStyle="1" w:styleId="ReferencesBody">
    <w:name w:val="References Body"/>
    <w:basedOn w:val="Standard"/>
    <w:qFormat/>
    <w:rsid w:val="00855148"/>
    <w:pPr>
      <w:numPr>
        <w:numId w:val="1"/>
      </w:numPr>
      <w:spacing w:before="60"/>
    </w:pPr>
    <w:rPr>
      <w:rFonts w:ascii="Times New Roman" w:hAnsi="Times New Roman"/>
      <w:sz w:val="20"/>
      <w:lang w:val="en-GB"/>
    </w:rPr>
  </w:style>
  <w:style w:type="paragraph" w:customStyle="1" w:styleId="Acknowledgement">
    <w:name w:val="Acknowledgement"/>
    <w:basedOn w:val="Standard"/>
    <w:rsid w:val="00F6496A"/>
    <w:pPr>
      <w:jc w:val="both"/>
    </w:pPr>
    <w:rPr>
      <w:rFonts w:ascii="Times" w:hAnsi="Times" w:cs="Times New Roman"/>
      <w:sz w:val="18"/>
    </w:rPr>
  </w:style>
  <w:style w:type="paragraph" w:styleId="StandardWeb">
    <w:name w:val="Normal (Web)"/>
    <w:basedOn w:val="Standard"/>
    <w:uiPriority w:val="99"/>
    <w:rsid w:val="0058479E"/>
    <w:pPr>
      <w:suppressAutoHyphens w:val="0"/>
      <w:autoSpaceDE w:val="0"/>
      <w:autoSpaceDN w:val="0"/>
      <w:jc w:val="both"/>
    </w:pPr>
    <w:rPr>
      <w:rFonts w:ascii="Times New Roman" w:eastAsia="MS Mincho" w:hAnsi="Times New Roman" w:cs="Palatino"/>
      <w:color w:val="000000"/>
      <w:szCs w:val="24"/>
      <w:lang w:val="en-GB" w:eastAsia="en-US"/>
    </w:rPr>
  </w:style>
  <w:style w:type="paragraph" w:customStyle="1" w:styleId="Referencelist">
    <w:name w:val="Reference list"/>
    <w:basedOn w:val="Textkrper"/>
    <w:link w:val="ReferencelistChar"/>
    <w:uiPriority w:val="49"/>
    <w:qFormat/>
    <w:rsid w:val="00F25951"/>
    <w:pPr>
      <w:numPr>
        <w:numId w:val="11"/>
      </w:numPr>
      <w:suppressAutoHyphens w:val="0"/>
      <w:spacing w:after="0" w:line="260" w:lineRule="atLeast"/>
      <w:contextualSpacing/>
      <w:jc w:val="both"/>
    </w:pPr>
    <w:rPr>
      <w:sz w:val="18"/>
      <w:szCs w:val="18"/>
      <w:lang w:val="en-GB" w:eastAsia="en-US"/>
    </w:rPr>
  </w:style>
  <w:style w:type="character" w:customStyle="1" w:styleId="ReferencelistChar">
    <w:name w:val="Reference list Char"/>
    <w:basedOn w:val="TextkrperZchn"/>
    <w:link w:val="Referencelist"/>
    <w:uiPriority w:val="49"/>
    <w:rsid w:val="00F25951"/>
    <w:rPr>
      <w:rFonts w:ascii="New York" w:hAnsi="New York" w:cs="New York"/>
      <w:sz w:val="18"/>
      <w:szCs w:val="18"/>
      <w:lang w:val="en-GB" w:eastAsia="en-US"/>
    </w:rPr>
  </w:style>
  <w:style w:type="paragraph" w:styleId="Textkrper">
    <w:name w:val="Body Text"/>
    <w:basedOn w:val="Standard"/>
    <w:link w:val="TextkrperZchn"/>
    <w:rsid w:val="00F25951"/>
    <w:pPr>
      <w:spacing w:after="120"/>
    </w:pPr>
  </w:style>
  <w:style w:type="character" w:customStyle="1" w:styleId="TextkrperZchn">
    <w:name w:val="Textkörper Zchn"/>
    <w:basedOn w:val="Absatz-Standardschriftart"/>
    <w:link w:val="Textkrper"/>
    <w:rsid w:val="00F25951"/>
    <w:rPr>
      <w:rFonts w:ascii="New York" w:hAnsi="New York" w:cs="New York"/>
      <w:sz w:val="24"/>
      <w:lang w:eastAsia="ar-SA"/>
    </w:rPr>
  </w:style>
  <w:style w:type="character" w:styleId="Hervorhebung">
    <w:name w:val="Emphasis"/>
    <w:basedOn w:val="Absatz-Standardschriftart"/>
    <w:uiPriority w:val="20"/>
    <w:qFormat/>
    <w:rsid w:val="00A607AD"/>
    <w:rPr>
      <w:i/>
      <w:iCs/>
    </w:rPr>
  </w:style>
  <w:style w:type="character" w:customStyle="1" w:styleId="markedcontent">
    <w:name w:val="markedcontent"/>
    <w:basedOn w:val="Absatz-Standardschriftart"/>
    <w:rsid w:val="007533D4"/>
  </w:style>
  <w:style w:type="character" w:styleId="Fett">
    <w:name w:val="Strong"/>
    <w:basedOn w:val="Absatz-Standardschriftart"/>
    <w:uiPriority w:val="22"/>
    <w:qFormat/>
    <w:rsid w:val="00B94474"/>
    <w:rPr>
      <w:b/>
      <w:bCs/>
    </w:rPr>
  </w:style>
  <w:style w:type="paragraph" w:styleId="HTMLVorformatiert">
    <w:name w:val="HTML Preformatted"/>
    <w:basedOn w:val="Standard"/>
    <w:link w:val="HTMLVorformatiertZchn"/>
    <w:uiPriority w:val="99"/>
    <w:unhideWhenUsed/>
    <w:rsid w:val="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val="en-US" w:eastAsia="en-US"/>
    </w:rPr>
  </w:style>
  <w:style w:type="character" w:customStyle="1" w:styleId="HTMLVorformatiertZchn">
    <w:name w:val="HTML Vorformatiert Zchn"/>
    <w:basedOn w:val="Absatz-Standardschriftart"/>
    <w:link w:val="HTMLVorformatiert"/>
    <w:uiPriority w:val="99"/>
    <w:rsid w:val="009237D9"/>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196581">
      <w:bodyDiv w:val="1"/>
      <w:marLeft w:val="0"/>
      <w:marRight w:val="0"/>
      <w:marTop w:val="0"/>
      <w:marBottom w:val="0"/>
      <w:divBdr>
        <w:top w:val="none" w:sz="0" w:space="0" w:color="auto"/>
        <w:left w:val="none" w:sz="0" w:space="0" w:color="auto"/>
        <w:bottom w:val="none" w:sz="0" w:space="0" w:color="auto"/>
        <w:right w:val="none" w:sz="0" w:space="0" w:color="auto"/>
      </w:divBdr>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674795634">
      <w:bodyDiv w:val="1"/>
      <w:marLeft w:val="0"/>
      <w:marRight w:val="0"/>
      <w:marTop w:val="0"/>
      <w:marBottom w:val="0"/>
      <w:divBdr>
        <w:top w:val="none" w:sz="0" w:space="0" w:color="auto"/>
        <w:left w:val="none" w:sz="0" w:space="0" w:color="auto"/>
        <w:bottom w:val="none" w:sz="0" w:space="0" w:color="auto"/>
        <w:right w:val="none" w:sz="0" w:space="0" w:color="auto"/>
      </w:divBdr>
      <w:divsChild>
        <w:div w:id="1055003761">
          <w:marLeft w:val="0"/>
          <w:marRight w:val="0"/>
          <w:marTop w:val="0"/>
          <w:marBottom w:val="0"/>
          <w:divBdr>
            <w:top w:val="none" w:sz="0" w:space="0" w:color="auto"/>
            <w:left w:val="none" w:sz="0" w:space="0" w:color="auto"/>
            <w:bottom w:val="single" w:sz="6" w:space="0" w:color="EBEBEB"/>
            <w:right w:val="none" w:sz="0" w:space="0" w:color="auto"/>
          </w:divBdr>
        </w:div>
        <w:div w:id="897862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09/IRMMW-THz50926.2021.9566847"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F4223E-4CEA-4152-ACD9-B527FE73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0</TotalTime>
  <Pages>4</Pages>
  <Words>2612</Words>
  <Characters>14890</Characters>
  <Application>Microsoft Office Word</Application>
  <DocSecurity>0</DocSecurity>
  <Lines>124</Lines>
  <Paragraphs>34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17468</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Heinrich Laqua</cp:lastModifiedBy>
  <cp:revision>2</cp:revision>
  <cp:lastPrinted>2016-03-18T15:26:00Z</cp:lastPrinted>
  <dcterms:created xsi:type="dcterms:W3CDTF">2022-09-21T11:40:00Z</dcterms:created>
  <dcterms:modified xsi:type="dcterms:W3CDTF">2022-09-21T11:40:00Z</dcterms:modified>
</cp:coreProperties>
</file>